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12" w:rsidRPr="00E67304" w:rsidRDefault="00110E83" w:rsidP="00EB6812">
      <w:pPr>
        <w:autoSpaceDE w:val="0"/>
        <w:autoSpaceDN w:val="0"/>
        <w:adjustRightInd w:val="0"/>
        <w:spacing w:line="360" w:lineRule="auto"/>
        <w:jc w:val="center"/>
        <w:rPr>
          <w:b/>
          <w:bCs/>
          <w:sz w:val="36"/>
          <w:szCs w:val="36"/>
        </w:rPr>
      </w:pPr>
      <w:r>
        <w:rPr>
          <w:b/>
          <w:bCs/>
          <w:sz w:val="36"/>
          <w:szCs w:val="36"/>
        </w:rPr>
        <w:t xml:space="preserve"> </w:t>
      </w:r>
      <w:r w:rsidR="00EB6812">
        <w:rPr>
          <w:b/>
          <w:bCs/>
          <w:sz w:val="36"/>
          <w:szCs w:val="36"/>
        </w:rPr>
        <w:t>Determinants of Economic Growth in Pakistan</w:t>
      </w:r>
    </w:p>
    <w:p w:rsidR="00EB6812" w:rsidRPr="00420FC3" w:rsidRDefault="0030093A" w:rsidP="0030093A">
      <w:pPr>
        <w:autoSpaceDE w:val="0"/>
        <w:autoSpaceDN w:val="0"/>
        <w:adjustRightInd w:val="0"/>
        <w:spacing w:line="360" w:lineRule="auto"/>
        <w:jc w:val="center"/>
        <w:rPr>
          <w:b/>
          <w:bCs/>
          <w:sz w:val="28"/>
          <w:szCs w:val="28"/>
        </w:rPr>
      </w:pPr>
      <w:r w:rsidRPr="00420FC3">
        <w:rPr>
          <w:b/>
          <w:bCs/>
          <w:sz w:val="30"/>
          <w:szCs w:val="30"/>
        </w:rPr>
        <w:t>1.</w:t>
      </w:r>
      <w:r w:rsidRPr="00420FC3">
        <w:rPr>
          <w:b/>
          <w:bCs/>
          <w:sz w:val="30"/>
          <w:szCs w:val="30"/>
        </w:rPr>
        <w:tab/>
      </w:r>
      <w:r w:rsidR="00F21105" w:rsidRPr="00420FC3">
        <w:rPr>
          <w:b/>
          <w:bCs/>
          <w:sz w:val="30"/>
          <w:szCs w:val="30"/>
        </w:rPr>
        <w:t>Introduction</w:t>
      </w:r>
    </w:p>
    <w:p w:rsidR="008E368E" w:rsidRDefault="00355DE6" w:rsidP="00B27CBA">
      <w:pPr>
        <w:autoSpaceDE w:val="0"/>
        <w:autoSpaceDN w:val="0"/>
        <w:adjustRightInd w:val="0"/>
        <w:spacing w:line="360" w:lineRule="auto"/>
        <w:ind w:firstLine="720"/>
        <w:jc w:val="both"/>
      </w:pPr>
      <w:r>
        <w:t xml:space="preserve">Economic growth has been considered </w:t>
      </w:r>
      <w:r w:rsidR="00236C68">
        <w:t xml:space="preserve">as </w:t>
      </w:r>
      <w:r>
        <w:t>the most powerful engine pulling the people out of the clutches of poverty and raising their standard of life. What happens to the life standard and poverty depends upon what happens to the growth and distribution of national income and the factors promoting them. When we look at the development in the recent history, we see people in certain regions of the globe grew rapidly than the other regions. At the same time there are some regions in which counter development movements were obvious. In these circumstances it was natural on the part of the researchers and policy makers to see behind the above developments</w:t>
      </w:r>
      <w:r w:rsidR="00952A3D">
        <w:t xml:space="preserve"> so ample literature came into being on the subject matter</w:t>
      </w:r>
      <w:r>
        <w:t xml:space="preserve">.  </w:t>
      </w:r>
      <w:r w:rsidR="00AF5B39">
        <w:t xml:space="preserve">The economic growth is a complex phenomenon, which involves several factors. </w:t>
      </w:r>
      <w:r w:rsidR="007A6D72">
        <w:t xml:space="preserve"> </w:t>
      </w:r>
      <w:r w:rsidR="00F21105">
        <w:t xml:space="preserve">One of the major areas of research in economics has been to identify </w:t>
      </w:r>
      <w:r w:rsidR="004226F1">
        <w:t xml:space="preserve">these </w:t>
      </w:r>
      <w:r w:rsidR="00F21105">
        <w:t>factors</w:t>
      </w:r>
      <w:r w:rsidR="004226F1">
        <w:t>.</w:t>
      </w:r>
      <w:r w:rsidR="00952A3D">
        <w:t xml:space="preserve"> </w:t>
      </w:r>
      <w:r w:rsidR="00F21105">
        <w:t xml:space="preserve"> </w:t>
      </w:r>
      <w:r w:rsidR="00952A3D">
        <w:t xml:space="preserve">These factors are both direct and indirect, and internal and external and they differ from country to country. </w:t>
      </w:r>
      <w:r w:rsidR="007A6D72">
        <w:t xml:space="preserve"> </w:t>
      </w:r>
      <w:r w:rsidR="007D5910">
        <w:t xml:space="preserve">Due to the different socioeconomic conditions the factors of economic growth may be different in the cases of developing and developed countries. </w:t>
      </w:r>
      <w:r>
        <w:t xml:space="preserve"> </w:t>
      </w:r>
      <w:r w:rsidR="00596BB5">
        <w:t>The growth of d</w:t>
      </w:r>
      <w:r w:rsidR="007D5910">
        <w:t xml:space="preserve">eveloping countries </w:t>
      </w:r>
      <w:r w:rsidR="00596BB5">
        <w:t>is not stable</w:t>
      </w:r>
      <w:r w:rsidR="007D5910">
        <w:t xml:space="preserve">. </w:t>
      </w:r>
      <w:r>
        <w:t xml:space="preserve"> </w:t>
      </w:r>
      <w:r w:rsidR="00F21105">
        <w:t>If these factors can be identified, it can help to accelerate growth by focusing on the major leading sources of growth.</w:t>
      </w:r>
    </w:p>
    <w:p w:rsidR="008E368E" w:rsidRDefault="008E368E" w:rsidP="007A3F1C">
      <w:pPr>
        <w:autoSpaceDE w:val="0"/>
        <w:autoSpaceDN w:val="0"/>
        <w:adjustRightInd w:val="0"/>
        <w:spacing w:line="360" w:lineRule="auto"/>
        <w:ind w:firstLine="720"/>
        <w:jc w:val="both"/>
      </w:pPr>
      <w:r>
        <w:t xml:space="preserve">Economy of </w:t>
      </w:r>
      <w:smartTag w:uri="urn:schemas-microsoft-com:office:smarttags" w:element="country-region">
        <w:smartTag w:uri="urn:schemas-microsoft-com:office:smarttags" w:element="place">
          <w:r>
            <w:t>Pakistan</w:t>
          </w:r>
        </w:smartTag>
      </w:smartTag>
      <w:r>
        <w:t xml:space="preserve"> has registered a growth rate of 5.32%, 6.30%, 3.96%, and 3.34% during 1970-1980, 1981-1990, 1991-2000, and 2001-2003 respectively.  Overall average for the said period is 5.03%</w:t>
      </w:r>
      <w:r>
        <w:rPr>
          <w:rStyle w:val="FootnoteReference"/>
        </w:rPr>
        <w:footnoteReference w:id="2"/>
      </w:r>
      <w:r>
        <w:t xml:space="preserve">.  This trend is both important and significant for </w:t>
      </w:r>
      <w:smartTag w:uri="urn:schemas-microsoft-com:office:smarttags" w:element="country-region">
        <w:smartTag w:uri="urn:schemas-microsoft-com:office:smarttags" w:element="place">
          <w:r>
            <w:t>Pakistan</w:t>
          </w:r>
        </w:smartTag>
      </w:smartTag>
      <w:r>
        <w:t>.  It is because this almost five percent growth rate is accompanied by growth in the capital stock which approximates around 17 to 18 percent of the GDP</w:t>
      </w:r>
      <w:r>
        <w:rPr>
          <w:rStyle w:val="FootnoteReference"/>
        </w:rPr>
        <w:footnoteReference w:id="3"/>
      </w:r>
      <w:r>
        <w:t xml:space="preserve">.  This accumulation of resources shows a trend, that incremental capital-output ratio (COR) is low in </w:t>
      </w:r>
      <w:smartTag w:uri="urn:schemas-microsoft-com:office:smarttags" w:element="country-region">
        <w:smartTag w:uri="urn:schemas-microsoft-com:office:smarttags" w:element="place">
          <w:r>
            <w:t>Pakistan</w:t>
          </w:r>
        </w:smartTag>
      </w:smartTag>
      <w:r>
        <w:t xml:space="preserve"> than a number of East Asian, South Asian and Latin American countries.</w:t>
      </w:r>
      <w:r>
        <w:rPr>
          <w:rStyle w:val="FootnoteReference"/>
        </w:rPr>
        <w:footnoteReference w:id="4"/>
      </w:r>
      <w:r w:rsidR="007A3F1C">
        <w:t xml:space="preserve"> Existence of this situation justifies a detailed study that could explore the factors of economic growth in </w:t>
      </w:r>
      <w:smartTag w:uri="urn:schemas-microsoft-com:office:smarttags" w:element="country-region">
        <w:smartTag w:uri="urn:schemas-microsoft-com:office:smarttags" w:element="place">
          <w:r w:rsidR="007A3F1C">
            <w:t>Pakistan</w:t>
          </w:r>
        </w:smartTag>
      </w:smartTag>
      <w:r w:rsidR="007A3F1C">
        <w:t>.</w:t>
      </w:r>
    </w:p>
    <w:p w:rsidR="007A3F1C" w:rsidRPr="007A3F1C" w:rsidRDefault="007A3F1C" w:rsidP="007A3F1C">
      <w:pPr>
        <w:autoSpaceDE w:val="0"/>
        <w:autoSpaceDN w:val="0"/>
        <w:adjustRightInd w:val="0"/>
        <w:spacing w:line="360" w:lineRule="auto"/>
        <w:jc w:val="both"/>
        <w:rPr>
          <w:b/>
          <w:bCs/>
          <w:sz w:val="28"/>
          <w:szCs w:val="28"/>
        </w:rPr>
      </w:pPr>
      <w:r>
        <w:rPr>
          <w:b/>
          <w:bCs/>
          <w:sz w:val="28"/>
          <w:szCs w:val="28"/>
        </w:rPr>
        <w:t>I.</w:t>
      </w:r>
      <w:r>
        <w:rPr>
          <w:b/>
          <w:bCs/>
          <w:sz w:val="28"/>
          <w:szCs w:val="28"/>
        </w:rPr>
        <w:tab/>
      </w:r>
      <w:r w:rsidRPr="007A3F1C">
        <w:rPr>
          <w:b/>
          <w:bCs/>
          <w:sz w:val="28"/>
          <w:szCs w:val="28"/>
        </w:rPr>
        <w:t>Research Question</w:t>
      </w:r>
    </w:p>
    <w:p w:rsidR="00133634" w:rsidRDefault="000651BF" w:rsidP="00133634">
      <w:pPr>
        <w:autoSpaceDE w:val="0"/>
        <w:autoSpaceDN w:val="0"/>
        <w:adjustRightInd w:val="0"/>
        <w:spacing w:line="360" w:lineRule="auto"/>
        <w:jc w:val="both"/>
      </w:pPr>
      <w:r>
        <w:t>How do the</w:t>
      </w:r>
      <w:r w:rsidR="00911AF8">
        <w:t xml:space="preserve"> </w:t>
      </w:r>
      <w:r w:rsidR="00911AF8" w:rsidRPr="004A1091">
        <w:t>growth rate of gross capital formation, growth rate of exports of goods and services, inflation rate, exchange rate, and domestic credit to private sector as percentage of GDP</w:t>
      </w:r>
      <w:r w:rsidR="00911AF8">
        <w:t xml:space="preserve">, </w:t>
      </w:r>
      <w:r>
        <w:t xml:space="preserve">affect the GDP growth rate in </w:t>
      </w:r>
      <w:smartTag w:uri="urn:schemas-microsoft-com:office:smarttags" w:element="country-region">
        <w:smartTag w:uri="urn:schemas-microsoft-com:office:smarttags" w:element="place">
          <w:r>
            <w:t>Pakistan</w:t>
          </w:r>
        </w:smartTag>
      </w:smartTag>
      <w:r>
        <w:t xml:space="preserve">? </w:t>
      </w:r>
    </w:p>
    <w:p w:rsidR="000651BF" w:rsidRDefault="000651BF" w:rsidP="007A3F1C">
      <w:pPr>
        <w:autoSpaceDE w:val="0"/>
        <w:autoSpaceDN w:val="0"/>
        <w:adjustRightInd w:val="0"/>
        <w:spacing w:line="360" w:lineRule="auto"/>
        <w:jc w:val="both"/>
        <w:rPr>
          <w:b/>
          <w:bCs/>
          <w:sz w:val="28"/>
          <w:szCs w:val="28"/>
        </w:rPr>
      </w:pPr>
    </w:p>
    <w:p w:rsidR="000651BF" w:rsidRDefault="000651BF" w:rsidP="007A3F1C">
      <w:pPr>
        <w:autoSpaceDE w:val="0"/>
        <w:autoSpaceDN w:val="0"/>
        <w:adjustRightInd w:val="0"/>
        <w:spacing w:line="360" w:lineRule="auto"/>
        <w:jc w:val="both"/>
        <w:rPr>
          <w:b/>
          <w:bCs/>
          <w:sz w:val="28"/>
          <w:szCs w:val="28"/>
        </w:rPr>
      </w:pPr>
    </w:p>
    <w:p w:rsidR="007A3F1C" w:rsidRDefault="007A3F1C" w:rsidP="007A3F1C">
      <w:pPr>
        <w:autoSpaceDE w:val="0"/>
        <w:autoSpaceDN w:val="0"/>
        <w:adjustRightInd w:val="0"/>
        <w:spacing w:line="360" w:lineRule="auto"/>
        <w:jc w:val="both"/>
      </w:pPr>
      <w:r>
        <w:rPr>
          <w:b/>
          <w:bCs/>
          <w:sz w:val="28"/>
          <w:szCs w:val="28"/>
        </w:rPr>
        <w:lastRenderedPageBreak/>
        <w:t>II.</w:t>
      </w:r>
      <w:r>
        <w:rPr>
          <w:b/>
          <w:bCs/>
          <w:sz w:val="28"/>
          <w:szCs w:val="28"/>
        </w:rPr>
        <w:tab/>
        <w:t>Objective</w:t>
      </w:r>
      <w:r w:rsidRPr="007A3F1C">
        <w:rPr>
          <w:b/>
          <w:bCs/>
          <w:sz w:val="28"/>
          <w:szCs w:val="28"/>
        </w:rPr>
        <w:t xml:space="preserve"> of the Study</w:t>
      </w:r>
    </w:p>
    <w:p w:rsidR="00B27CBA" w:rsidRPr="007A3F1C" w:rsidRDefault="00A87B7E" w:rsidP="00FB1273">
      <w:pPr>
        <w:autoSpaceDE w:val="0"/>
        <w:autoSpaceDN w:val="0"/>
        <w:adjustRightInd w:val="0"/>
        <w:spacing w:line="360" w:lineRule="auto"/>
        <w:ind w:left="360" w:firstLine="360"/>
        <w:jc w:val="both"/>
      </w:pPr>
      <w:r>
        <w:t xml:space="preserve">The objective of this study is to investigate the determinants of economic growth in </w:t>
      </w:r>
      <w:smartTag w:uri="urn:schemas-microsoft-com:office:smarttags" w:element="country-region">
        <w:smartTag w:uri="urn:schemas-microsoft-com:office:smarttags" w:element="place">
          <w:r>
            <w:t>Pakistan</w:t>
          </w:r>
        </w:smartTag>
      </w:smartTag>
      <w:r>
        <w:t>.</w:t>
      </w:r>
      <w:r w:rsidR="003405F0">
        <w:t xml:space="preserve"> After analyzing the effect</w:t>
      </w:r>
      <w:r w:rsidR="00B27CBA">
        <w:t>s</w:t>
      </w:r>
      <w:r w:rsidR="003405F0">
        <w:t xml:space="preserve"> of different factors on economic growth</w:t>
      </w:r>
      <w:r w:rsidR="007A3F1C">
        <w:t>,</w:t>
      </w:r>
      <w:r w:rsidR="003405F0">
        <w:t xml:space="preserve"> relative importance may be given to those factors according to their contribution in </w:t>
      </w:r>
      <w:r w:rsidR="007A3F1C">
        <w:t xml:space="preserve">the </w:t>
      </w:r>
      <w:r w:rsidR="003405F0">
        <w:t>economic growth.</w:t>
      </w:r>
      <w:r w:rsidR="00F17741">
        <w:t xml:space="preserve"> </w:t>
      </w:r>
    </w:p>
    <w:p w:rsidR="00E33B94" w:rsidRPr="00420FC3" w:rsidRDefault="00DF0223" w:rsidP="00E33B94">
      <w:pPr>
        <w:autoSpaceDE w:val="0"/>
        <w:autoSpaceDN w:val="0"/>
        <w:adjustRightInd w:val="0"/>
        <w:spacing w:line="360" w:lineRule="auto"/>
        <w:jc w:val="center"/>
        <w:rPr>
          <w:b/>
          <w:bCs/>
          <w:sz w:val="22"/>
          <w:szCs w:val="22"/>
        </w:rPr>
      </w:pPr>
      <w:r>
        <w:rPr>
          <w:b/>
          <w:bCs/>
          <w:sz w:val="30"/>
          <w:szCs w:val="30"/>
        </w:rPr>
        <w:t>2</w:t>
      </w:r>
      <w:r w:rsidR="00E33B94" w:rsidRPr="00420FC3">
        <w:rPr>
          <w:b/>
          <w:bCs/>
          <w:sz w:val="30"/>
          <w:szCs w:val="30"/>
        </w:rPr>
        <w:t>.</w:t>
      </w:r>
      <w:r w:rsidR="00E33B94" w:rsidRPr="00420FC3">
        <w:rPr>
          <w:b/>
          <w:bCs/>
          <w:sz w:val="30"/>
          <w:szCs w:val="30"/>
        </w:rPr>
        <w:tab/>
      </w:r>
      <w:r w:rsidR="00E33B94">
        <w:rPr>
          <w:b/>
          <w:bCs/>
          <w:sz w:val="30"/>
          <w:szCs w:val="30"/>
        </w:rPr>
        <w:t>Data and Methodology</w:t>
      </w:r>
    </w:p>
    <w:p w:rsidR="003B7987" w:rsidRPr="000F1204" w:rsidRDefault="00F50368" w:rsidP="00F50368">
      <w:pPr>
        <w:autoSpaceDE w:val="0"/>
        <w:autoSpaceDN w:val="0"/>
        <w:adjustRightInd w:val="0"/>
        <w:spacing w:line="360" w:lineRule="auto"/>
        <w:jc w:val="both"/>
        <w:rPr>
          <w:b/>
          <w:bCs/>
          <w:sz w:val="28"/>
          <w:szCs w:val="28"/>
        </w:rPr>
      </w:pPr>
      <w:r w:rsidRPr="00F50368">
        <w:rPr>
          <w:b/>
          <w:bCs/>
          <w:sz w:val="28"/>
          <w:szCs w:val="28"/>
        </w:rPr>
        <w:t>I.</w:t>
      </w:r>
      <w:r w:rsidRPr="00F50368">
        <w:rPr>
          <w:b/>
          <w:bCs/>
          <w:sz w:val="28"/>
          <w:szCs w:val="28"/>
        </w:rPr>
        <w:tab/>
        <w:t>Data</w:t>
      </w:r>
    </w:p>
    <w:p w:rsidR="00A26E7B" w:rsidRDefault="00F50368" w:rsidP="00F23B0E">
      <w:pPr>
        <w:autoSpaceDE w:val="0"/>
        <w:autoSpaceDN w:val="0"/>
        <w:adjustRightInd w:val="0"/>
        <w:spacing w:line="360" w:lineRule="auto"/>
        <w:jc w:val="both"/>
      </w:pPr>
      <w:r w:rsidRPr="004A1091">
        <w:t>A sample period of 45 years has been selected for this study for the period of 1961-2005 with annual frequency.</w:t>
      </w:r>
      <w:r w:rsidR="009672F0">
        <w:t xml:space="preserve"> </w:t>
      </w:r>
      <w:r w:rsidR="00F23B0E">
        <w:t>Depending on the availability of data w</w:t>
      </w:r>
      <w:r w:rsidR="009672F0">
        <w:t>e have selected the longest possible sample period to avoid the small sample bias.</w:t>
      </w:r>
      <w:r w:rsidRPr="004A1091">
        <w:t xml:space="preserve"> Data on all the variables have been collected from </w:t>
      </w:r>
      <w:r w:rsidRPr="004A1091">
        <w:rPr>
          <w:i/>
          <w:iCs/>
        </w:rPr>
        <w:t>World Development Indicators</w:t>
      </w:r>
      <w:r w:rsidRPr="004A1091">
        <w:rPr>
          <w:rStyle w:val="FootnoteReference"/>
          <w:i/>
          <w:iCs/>
        </w:rPr>
        <w:footnoteReference w:id="5"/>
      </w:r>
      <w:r w:rsidR="001721BC" w:rsidRPr="004A1091">
        <w:rPr>
          <w:i/>
          <w:iCs/>
        </w:rPr>
        <w:t>.</w:t>
      </w:r>
      <w:r w:rsidR="001721BC" w:rsidRPr="004A1091">
        <w:t xml:space="preserve"> </w:t>
      </w:r>
      <w:r w:rsidR="00D21FA8" w:rsidRPr="004A1091">
        <w:t>Six variables have been selected for this study.</w:t>
      </w:r>
      <w:r w:rsidR="00F727BF" w:rsidRPr="004A1091">
        <w:t xml:space="preserve"> </w:t>
      </w:r>
      <w:r w:rsidR="000E5375" w:rsidRPr="004A1091">
        <w:t>Growth rate of gross domestic product (GGDP) has been used as dependent variable to represent the economic growth.</w:t>
      </w:r>
      <w:r w:rsidR="00EB6651" w:rsidRPr="004A1091">
        <w:t xml:space="preserve"> W</w:t>
      </w:r>
      <w:r w:rsidR="0002158E" w:rsidRPr="004A1091">
        <w:t>hereas,</w:t>
      </w:r>
      <w:r w:rsidR="000E5375" w:rsidRPr="004A1091">
        <w:t xml:space="preserve"> </w:t>
      </w:r>
      <w:r w:rsidR="0002158E" w:rsidRPr="004A1091">
        <w:t>g</w:t>
      </w:r>
      <w:r w:rsidR="00036A50" w:rsidRPr="004A1091">
        <w:t xml:space="preserve">rowth rate of gross capital formation (GGCF), </w:t>
      </w:r>
      <w:r w:rsidR="0002158E" w:rsidRPr="004A1091">
        <w:t>g</w:t>
      </w:r>
      <w:r w:rsidR="00036A50" w:rsidRPr="004A1091">
        <w:t>rowth rate of exports of goods and services</w:t>
      </w:r>
      <w:r w:rsidR="00036A50" w:rsidRPr="004A1091">
        <w:rPr>
          <w:b/>
          <w:bCs/>
        </w:rPr>
        <w:t xml:space="preserve"> </w:t>
      </w:r>
      <w:r w:rsidR="00036A50" w:rsidRPr="004A1091">
        <w:t xml:space="preserve">(GEX), </w:t>
      </w:r>
      <w:r w:rsidR="0002158E" w:rsidRPr="004A1091">
        <w:t>i</w:t>
      </w:r>
      <w:r w:rsidR="00036A50" w:rsidRPr="004A1091">
        <w:t xml:space="preserve">nflation rate (INF), </w:t>
      </w:r>
      <w:r w:rsidR="0002158E" w:rsidRPr="004A1091">
        <w:t>e</w:t>
      </w:r>
      <w:r w:rsidR="00036A50" w:rsidRPr="004A1091">
        <w:t xml:space="preserve">xchange rate (EXR), and </w:t>
      </w:r>
      <w:r w:rsidR="0002158E" w:rsidRPr="004A1091">
        <w:t>d</w:t>
      </w:r>
      <w:r w:rsidR="00036A50" w:rsidRPr="004A1091">
        <w:t>omestic credit to private sector as percentage of GDP (DCPV) have been used as independent variables.</w:t>
      </w:r>
      <w:r w:rsidR="007D1CA1">
        <w:t xml:space="preserve"> The description of variables has been given below:</w:t>
      </w:r>
    </w:p>
    <w:p w:rsidR="007D1CA1" w:rsidRPr="00B87B30" w:rsidRDefault="007D1CA1" w:rsidP="007D1CA1">
      <w:pPr>
        <w:autoSpaceDE w:val="0"/>
        <w:autoSpaceDN w:val="0"/>
        <w:adjustRightInd w:val="0"/>
        <w:spacing w:line="360" w:lineRule="auto"/>
        <w:ind w:left="360"/>
        <w:jc w:val="both"/>
        <w:rPr>
          <w:b/>
          <w:bCs/>
        </w:rPr>
      </w:pPr>
      <w:r>
        <w:rPr>
          <w:b/>
          <w:bCs/>
        </w:rPr>
        <w:t>Dependent Variable:</w:t>
      </w:r>
    </w:p>
    <w:p w:rsidR="007D1CA1" w:rsidRPr="007C4991" w:rsidRDefault="007D1CA1" w:rsidP="006818F8">
      <w:pPr>
        <w:autoSpaceDE w:val="0"/>
        <w:autoSpaceDN w:val="0"/>
        <w:adjustRightInd w:val="0"/>
        <w:spacing w:line="360" w:lineRule="auto"/>
        <w:ind w:left="720"/>
        <w:jc w:val="both"/>
        <w:rPr>
          <w:b/>
          <w:bCs/>
        </w:rPr>
      </w:pPr>
      <w:r>
        <w:rPr>
          <w:rFonts w:ascii="TimesNewRomanPS-BoldMT" w:hAnsi="TimesNewRomanPS-BoldMT" w:cs="TimesNewRomanPS-BoldMT"/>
        </w:rPr>
        <w:t>Growth rate of gross domestic product (GGDP):  This variable</w:t>
      </w:r>
      <w:r>
        <w:t xml:space="preserve"> is used as economic growth rate.  Market prices in the terms of local currency are used to measure a</w:t>
      </w:r>
      <w:r w:rsidRPr="003A7587">
        <w:t>nnual percentage growth rate of GDP</w:t>
      </w:r>
      <w:r>
        <w:t>.</w:t>
      </w:r>
      <w:r w:rsidRPr="003A7587">
        <w:t xml:space="preserve"> </w:t>
      </w:r>
      <w:r>
        <w:t xml:space="preserve"> Year</w:t>
      </w:r>
      <w:r w:rsidRPr="003A7587">
        <w:t xml:space="preserve"> 2000 </w:t>
      </w:r>
      <w:r>
        <w:t>is the base year</w:t>
      </w:r>
      <w:r w:rsidR="006818F8">
        <w:t xml:space="preserve"> to measure the aggregates in</w:t>
      </w:r>
      <w:r>
        <w:t xml:space="preserve"> terms of </w:t>
      </w:r>
      <w:r w:rsidRPr="003A7587">
        <w:t xml:space="preserve">U.S. dollars. </w:t>
      </w:r>
      <w:r>
        <w:t xml:space="preserve"> </w:t>
      </w:r>
      <w:r w:rsidRPr="003A7587">
        <w:t xml:space="preserve">GDP is </w:t>
      </w:r>
      <w:r>
        <w:t xml:space="preserve">measured as </w:t>
      </w:r>
      <w:r w:rsidRPr="003A7587">
        <w:t xml:space="preserve">the sum of gross value added by all </w:t>
      </w:r>
      <w:r>
        <w:t>domestic</w:t>
      </w:r>
      <w:r w:rsidRPr="003A7587">
        <w:t xml:space="preserve"> producers </w:t>
      </w:r>
      <w:r>
        <w:t xml:space="preserve">of </w:t>
      </w:r>
      <w:smartTag w:uri="urn:schemas-microsoft-com:office:smarttags" w:element="country-region">
        <w:smartTag w:uri="urn:schemas-microsoft-com:office:smarttags" w:element="place">
          <w:r>
            <w:t>Pakistan</w:t>
          </w:r>
        </w:smartTag>
      </w:smartTag>
      <w:r w:rsidRPr="003A7587">
        <w:t xml:space="preserve"> economy </w:t>
      </w:r>
      <w:r>
        <w:t>including</w:t>
      </w:r>
      <w:r w:rsidRPr="003A7587">
        <w:t xml:space="preserve"> product taxes and </w:t>
      </w:r>
      <w:r>
        <w:t>excluding</w:t>
      </w:r>
      <w:r w:rsidRPr="003A7587">
        <w:t xml:space="preserve"> subsidies</w:t>
      </w:r>
      <w:r>
        <w:t xml:space="preserve"> for the product. </w:t>
      </w:r>
    </w:p>
    <w:p w:rsidR="007D1CA1" w:rsidRPr="009E2F21" w:rsidRDefault="007D1CA1" w:rsidP="007D1CA1">
      <w:pPr>
        <w:autoSpaceDE w:val="0"/>
        <w:autoSpaceDN w:val="0"/>
        <w:adjustRightInd w:val="0"/>
        <w:spacing w:line="360" w:lineRule="auto"/>
        <w:ind w:firstLine="360"/>
        <w:jc w:val="both"/>
        <w:rPr>
          <w:b/>
          <w:bCs/>
        </w:rPr>
      </w:pPr>
      <w:r w:rsidRPr="009E2F21">
        <w:rPr>
          <w:b/>
          <w:bCs/>
        </w:rPr>
        <w:t>Independent Variables:</w:t>
      </w:r>
    </w:p>
    <w:p w:rsidR="007D1CA1" w:rsidRPr="00B56CDD" w:rsidRDefault="007D1CA1" w:rsidP="007D1CA1">
      <w:pPr>
        <w:numPr>
          <w:ilvl w:val="0"/>
          <w:numId w:val="1"/>
        </w:numPr>
        <w:autoSpaceDE w:val="0"/>
        <w:autoSpaceDN w:val="0"/>
        <w:adjustRightInd w:val="0"/>
        <w:spacing w:line="360" w:lineRule="auto"/>
        <w:jc w:val="both"/>
      </w:pPr>
      <w:r w:rsidRPr="00B56CDD">
        <w:t>Growth rate of gross capital formation (GGCF):  Aggregates of this variable</w:t>
      </w:r>
      <w:r w:rsidR="007168B3">
        <w:t xml:space="preserve"> from which annual growth rate has been</w:t>
      </w:r>
      <w:r w:rsidRPr="00B56CDD">
        <w:t xml:space="preserve"> </w:t>
      </w:r>
      <w:r w:rsidR="007168B3">
        <w:t xml:space="preserve">calculated </w:t>
      </w:r>
      <w:r w:rsidRPr="00B56CDD">
        <w:t xml:space="preserve">are measured in the terms of U.S. dollars, using 2000 as the base year.  Gross capital formation includes expenditures on increases in the fixed assets of </w:t>
      </w:r>
      <w:smartTag w:uri="urn:schemas-microsoft-com:office:smarttags" w:element="country-region">
        <w:smartTag w:uri="urn:schemas-microsoft-com:office:smarttags" w:element="place">
          <w:r w:rsidRPr="00B56CDD">
            <w:t>Pakistan</w:t>
          </w:r>
        </w:smartTag>
      </w:smartTag>
      <w:r w:rsidRPr="00B56CDD">
        <w:t xml:space="preserve"> economy adding net changes in the inventories’ level.</w:t>
      </w:r>
    </w:p>
    <w:p w:rsidR="007D1CA1" w:rsidRPr="00B56CDD" w:rsidRDefault="007D1CA1" w:rsidP="007D1CA1">
      <w:pPr>
        <w:numPr>
          <w:ilvl w:val="0"/>
          <w:numId w:val="1"/>
        </w:numPr>
        <w:autoSpaceDE w:val="0"/>
        <w:autoSpaceDN w:val="0"/>
        <w:adjustRightInd w:val="0"/>
        <w:spacing w:line="360" w:lineRule="auto"/>
        <w:jc w:val="both"/>
        <w:rPr>
          <w:b/>
          <w:bCs/>
        </w:rPr>
      </w:pPr>
      <w:r w:rsidRPr="00B56CDD">
        <w:t>Growth rate of exports of goods and services</w:t>
      </w:r>
      <w:r w:rsidRPr="00B56CDD">
        <w:rPr>
          <w:b/>
          <w:bCs/>
        </w:rPr>
        <w:t xml:space="preserve"> </w:t>
      </w:r>
      <w:r w:rsidRPr="00B56CDD">
        <w:t>(GEX):  Aggregates of this variable</w:t>
      </w:r>
      <w:r w:rsidR="00245A8F">
        <w:t xml:space="preserve"> from which annual growth rate has been</w:t>
      </w:r>
      <w:r w:rsidR="00245A8F" w:rsidRPr="00B56CDD">
        <w:t xml:space="preserve"> </w:t>
      </w:r>
      <w:r w:rsidR="00245A8F">
        <w:t>calculated</w:t>
      </w:r>
      <w:r w:rsidRPr="00B56CDD">
        <w:t xml:space="preserve"> are measured in the terms of U.S. dollars, using 2000 as the base year. Exports of goods and services include the value of merchandise, freight, insurance, transport, </w:t>
      </w:r>
      <w:r w:rsidRPr="00B56CDD">
        <w:lastRenderedPageBreak/>
        <w:t>travel, royalties, license fees, and other services excluding the labor and property income and transfer payments.</w:t>
      </w:r>
    </w:p>
    <w:p w:rsidR="007D1CA1" w:rsidRPr="00B56CDD" w:rsidRDefault="007D1CA1" w:rsidP="007D1CA1">
      <w:pPr>
        <w:numPr>
          <w:ilvl w:val="0"/>
          <w:numId w:val="1"/>
        </w:numPr>
        <w:autoSpaceDE w:val="0"/>
        <w:autoSpaceDN w:val="0"/>
        <w:adjustRightInd w:val="0"/>
        <w:spacing w:line="360" w:lineRule="auto"/>
        <w:jc w:val="both"/>
        <w:rPr>
          <w:b/>
          <w:bCs/>
        </w:rPr>
      </w:pPr>
      <w:r w:rsidRPr="00B56CDD">
        <w:t>Inflation rate (INF):  This variable is measured by the consumer price index, which shows the annual percentage change in the value of a fixed basket of goods and services.  The Laspeyres formula of consumer price index is used.</w:t>
      </w:r>
    </w:p>
    <w:p w:rsidR="007D1CA1" w:rsidRPr="00B56CDD" w:rsidRDefault="007D1CA1" w:rsidP="007D1CA1">
      <w:pPr>
        <w:numPr>
          <w:ilvl w:val="0"/>
          <w:numId w:val="1"/>
        </w:numPr>
        <w:autoSpaceDE w:val="0"/>
        <w:autoSpaceDN w:val="0"/>
        <w:adjustRightInd w:val="0"/>
        <w:spacing w:line="360" w:lineRule="auto"/>
        <w:jc w:val="both"/>
      </w:pPr>
      <w:r w:rsidRPr="00B56CDD">
        <w:t>Exchange rate (EXR):  Exchange rate is the units of local currency relative to the U.S. dollar.  This variable is calculated as an annual average based on monthly averages.</w:t>
      </w:r>
    </w:p>
    <w:p w:rsidR="007D1CA1" w:rsidRPr="00B56CDD" w:rsidRDefault="007D1CA1" w:rsidP="007D1CA1">
      <w:pPr>
        <w:numPr>
          <w:ilvl w:val="0"/>
          <w:numId w:val="1"/>
        </w:numPr>
        <w:autoSpaceDE w:val="0"/>
        <w:autoSpaceDN w:val="0"/>
        <w:adjustRightInd w:val="0"/>
        <w:spacing w:line="360" w:lineRule="auto"/>
        <w:jc w:val="both"/>
      </w:pPr>
      <w:r w:rsidRPr="00B56CDD">
        <w:t>Domestic credit to private sector as percentage of GDP (DCPV):  This variable measures the financial resources such as loans, purchases of non</w:t>
      </w:r>
      <w:r w:rsidR="000A45C5">
        <w:t>-</w:t>
      </w:r>
      <w:r w:rsidRPr="00B56CDD">
        <w:t>equity securities, and trade credit etc provided to the private sector.</w:t>
      </w:r>
      <w:r w:rsidRPr="00B56CDD">
        <w:rPr>
          <w:rStyle w:val="FootnoteReference"/>
        </w:rPr>
        <w:footnoteReference w:id="6"/>
      </w:r>
    </w:p>
    <w:p w:rsidR="00B56CDD" w:rsidRDefault="003051AF" w:rsidP="003051AF">
      <w:pPr>
        <w:autoSpaceDE w:val="0"/>
        <w:autoSpaceDN w:val="0"/>
        <w:adjustRightInd w:val="0"/>
        <w:spacing w:line="360" w:lineRule="auto"/>
        <w:ind w:firstLine="720"/>
        <w:jc w:val="both"/>
        <w:rPr>
          <w:b/>
          <w:bCs/>
          <w:sz w:val="28"/>
          <w:szCs w:val="28"/>
        </w:rPr>
      </w:pPr>
      <w:r>
        <w:rPr>
          <w:b/>
          <w:bCs/>
          <w:sz w:val="28"/>
          <w:szCs w:val="28"/>
        </w:rPr>
        <w:t xml:space="preserve">Quality of </w:t>
      </w:r>
      <w:r w:rsidR="00B56CDD" w:rsidRPr="00B56CDD">
        <w:rPr>
          <w:b/>
          <w:bCs/>
          <w:sz w:val="28"/>
          <w:szCs w:val="28"/>
        </w:rPr>
        <w:t>Data</w:t>
      </w:r>
      <w:r>
        <w:rPr>
          <w:b/>
          <w:bCs/>
          <w:sz w:val="28"/>
          <w:szCs w:val="28"/>
        </w:rPr>
        <w:t>:</w:t>
      </w:r>
    </w:p>
    <w:p w:rsidR="003051AF" w:rsidRPr="003051AF" w:rsidRDefault="003051AF" w:rsidP="004A63D1">
      <w:pPr>
        <w:autoSpaceDE w:val="0"/>
        <w:autoSpaceDN w:val="0"/>
        <w:adjustRightInd w:val="0"/>
        <w:spacing w:line="360" w:lineRule="auto"/>
        <w:ind w:firstLine="720"/>
        <w:jc w:val="both"/>
      </w:pPr>
      <w:r w:rsidRPr="003051AF">
        <w:t xml:space="preserve">It </w:t>
      </w:r>
      <w:r>
        <w:t xml:space="preserve">is really tough to comment on quality of the secondary data. However, </w:t>
      </w:r>
      <w:r w:rsidR="005442CF">
        <w:t xml:space="preserve">the </w:t>
      </w:r>
      <w:r w:rsidR="000A45C5">
        <w:t xml:space="preserve">above definitions of the variables show that the variables </w:t>
      </w:r>
      <w:r w:rsidR="00C20C52">
        <w:t>measure the concept</w:t>
      </w:r>
      <w:r w:rsidR="00592CDE">
        <w:t>s</w:t>
      </w:r>
      <w:r w:rsidR="00C20C52">
        <w:t xml:space="preserve"> which we intended to measure.</w:t>
      </w:r>
      <w:r w:rsidR="00981B49">
        <w:t xml:space="preserve"> </w:t>
      </w:r>
      <w:r w:rsidR="00291B23">
        <w:t xml:space="preserve">Given that the data have been collected according to the above definitions of the variables, </w:t>
      </w:r>
      <w:r w:rsidR="00576E9C">
        <w:t xml:space="preserve">the data used in this study is valid for the purpose of analysis. </w:t>
      </w:r>
      <w:r w:rsidR="00763984">
        <w:t xml:space="preserve"> </w:t>
      </w:r>
      <w:r w:rsidR="004A63D1">
        <w:t xml:space="preserve">It is important to note that the above definitions of the variables have been taken from the user guide of the </w:t>
      </w:r>
      <w:r w:rsidR="004A63D1" w:rsidRPr="004A63D1">
        <w:rPr>
          <w:i/>
          <w:iCs/>
        </w:rPr>
        <w:t xml:space="preserve">World development Indicators </w:t>
      </w:r>
      <w:r w:rsidR="004A63D1">
        <w:t xml:space="preserve">which is the source of the data used in this study. </w:t>
      </w:r>
      <w:r w:rsidR="00F523A3">
        <w:t xml:space="preserve">No data values are missing from any series. </w:t>
      </w:r>
      <w:r w:rsidR="00C67B5C">
        <w:t xml:space="preserve">Data on </w:t>
      </w:r>
      <w:r w:rsidR="00C67B5C" w:rsidRPr="00C67B5C">
        <w:rPr>
          <w:i/>
          <w:iCs/>
        </w:rPr>
        <w:t>World Development Indicators</w:t>
      </w:r>
      <w:r w:rsidR="00C67B5C">
        <w:t xml:space="preserve"> are drawn from the sources thought to be most authoritative</w:t>
      </w:r>
      <w:r w:rsidR="008F7516">
        <w:rPr>
          <w:rStyle w:val="FootnoteReference"/>
        </w:rPr>
        <w:footnoteReference w:id="7"/>
      </w:r>
      <w:r w:rsidR="00C67B5C">
        <w:t>.</w:t>
      </w:r>
    </w:p>
    <w:p w:rsidR="00A26E7B" w:rsidRDefault="00A26E7B" w:rsidP="00A26E7B">
      <w:pPr>
        <w:autoSpaceDE w:val="0"/>
        <w:autoSpaceDN w:val="0"/>
        <w:adjustRightInd w:val="0"/>
        <w:spacing w:line="360" w:lineRule="auto"/>
        <w:jc w:val="both"/>
        <w:rPr>
          <w:b/>
          <w:bCs/>
          <w:sz w:val="28"/>
          <w:szCs w:val="28"/>
        </w:rPr>
      </w:pPr>
      <w:r>
        <w:rPr>
          <w:b/>
          <w:bCs/>
          <w:sz w:val="28"/>
          <w:szCs w:val="28"/>
        </w:rPr>
        <w:t>II</w:t>
      </w:r>
      <w:r w:rsidRPr="00F50368">
        <w:rPr>
          <w:b/>
          <w:bCs/>
          <w:sz w:val="28"/>
          <w:szCs w:val="28"/>
        </w:rPr>
        <w:t>.</w:t>
      </w:r>
      <w:r w:rsidRPr="00F50368">
        <w:rPr>
          <w:b/>
          <w:bCs/>
          <w:sz w:val="28"/>
          <w:szCs w:val="28"/>
        </w:rPr>
        <w:tab/>
      </w:r>
      <w:r>
        <w:rPr>
          <w:b/>
          <w:bCs/>
          <w:sz w:val="28"/>
          <w:szCs w:val="28"/>
        </w:rPr>
        <w:t>Methodology</w:t>
      </w:r>
    </w:p>
    <w:p w:rsidR="00E54AC2" w:rsidRDefault="00AA3E5E" w:rsidP="0079087B">
      <w:pPr>
        <w:autoSpaceDE w:val="0"/>
        <w:autoSpaceDN w:val="0"/>
        <w:adjustRightInd w:val="0"/>
        <w:spacing w:line="360" w:lineRule="auto"/>
        <w:jc w:val="both"/>
      </w:pPr>
      <w:r>
        <w:t>To present the overall picture of the variables t</w:t>
      </w:r>
      <w:r w:rsidR="00975E52">
        <w:t>he descriptive statistics are used</w:t>
      </w:r>
      <w:r>
        <w:t>.</w:t>
      </w:r>
      <w:r w:rsidR="00975E52">
        <w:t xml:space="preserve"> </w:t>
      </w:r>
      <w:r w:rsidR="00403F0B">
        <w:t>The s</w:t>
      </w:r>
      <w:r w:rsidR="00E54AC2">
        <w:t xml:space="preserve">catter-plot matrix is used to view the relationships among the variables used in this study. </w:t>
      </w:r>
      <w:r w:rsidR="00674E1F">
        <w:t xml:space="preserve">This matrix shows all the possible two dimension plots of the variables. </w:t>
      </w:r>
      <w:r w:rsidR="00E54AC2">
        <w:t xml:space="preserve">A table of correlations among variables is also a part of the study. </w:t>
      </w:r>
      <w:r w:rsidR="00C93C2E">
        <w:t xml:space="preserve"> This table provides the values and signs of the coefficients of correlations</w:t>
      </w:r>
      <w:r w:rsidR="00DB343A">
        <w:t>.</w:t>
      </w:r>
      <w:r w:rsidR="00C93C2E">
        <w:t xml:space="preserve"> </w:t>
      </w:r>
      <w:r w:rsidR="00DB343A">
        <w:t xml:space="preserve">This table also provides the </w:t>
      </w:r>
      <w:r w:rsidR="00DB343A" w:rsidRPr="00DB343A">
        <w:rPr>
          <w:i/>
          <w:iCs/>
        </w:rPr>
        <w:t>P-values</w:t>
      </w:r>
      <w:r w:rsidR="00DB343A">
        <w:t xml:space="preserve"> of the test of the null hypothesis </w:t>
      </w:r>
      <w:r w:rsidR="00ED5E9A">
        <w:t>which states that the said variables are not correlated to each other.</w:t>
      </w:r>
      <w:r w:rsidR="00DB343A">
        <w:t xml:space="preserve"> </w:t>
      </w:r>
      <w:r w:rsidR="0086268A">
        <w:t xml:space="preserve"> </w:t>
      </w:r>
      <w:r w:rsidR="00403F0B">
        <w:t>This table is also helpful to check the problem of multi</w:t>
      </w:r>
      <w:r w:rsidR="0086268A">
        <w:t>-</w:t>
      </w:r>
      <w:r w:rsidR="0079087B">
        <w:t>collinearity. The large correlations between the predictor variables indicate the problem of multi-collinearity.</w:t>
      </w:r>
    </w:p>
    <w:p w:rsidR="00A731C7" w:rsidRPr="004A1091" w:rsidRDefault="005C208B" w:rsidP="002B0E91">
      <w:pPr>
        <w:autoSpaceDE w:val="0"/>
        <w:autoSpaceDN w:val="0"/>
        <w:adjustRightInd w:val="0"/>
        <w:spacing w:line="360" w:lineRule="auto"/>
        <w:jc w:val="both"/>
      </w:pPr>
      <w:r>
        <w:t>Since the objective of this study is to check the dependence of the economic growth on different factors</w:t>
      </w:r>
      <w:r w:rsidR="00A60542">
        <w:t xml:space="preserve"> as stated above</w:t>
      </w:r>
      <w:r>
        <w:t>, i</w:t>
      </w:r>
      <w:r w:rsidR="00BD7566" w:rsidRPr="004A1091">
        <w:t>n this study</w:t>
      </w:r>
      <w:r w:rsidR="005C3A7D" w:rsidRPr="004A1091">
        <w:t xml:space="preserve"> ordinary least </w:t>
      </w:r>
      <w:r w:rsidR="003A599F">
        <w:t>square (OLS) method of multiple-</w:t>
      </w:r>
      <w:r w:rsidR="005C3A7D" w:rsidRPr="004A1091">
        <w:t xml:space="preserve">regression </w:t>
      </w:r>
      <w:r w:rsidR="003B5FBE" w:rsidRPr="004A1091">
        <w:t xml:space="preserve">is used to estimate the </w:t>
      </w:r>
      <w:r w:rsidR="00870A0E" w:rsidRPr="004A1091">
        <w:lastRenderedPageBreak/>
        <w:t>effect</w:t>
      </w:r>
      <w:r>
        <w:t>s</w:t>
      </w:r>
      <w:r w:rsidR="00870A0E" w:rsidRPr="004A1091">
        <w:t xml:space="preserve"> of </w:t>
      </w:r>
      <w:r>
        <w:t>those factors</w:t>
      </w:r>
      <w:r w:rsidR="00870A0E" w:rsidRPr="004A1091">
        <w:t xml:space="preserve"> on the </w:t>
      </w:r>
      <w:r>
        <w:t>economic growth</w:t>
      </w:r>
      <w:r w:rsidR="00870A0E" w:rsidRPr="004A1091">
        <w:t xml:space="preserve">. </w:t>
      </w:r>
      <w:r w:rsidR="00A60542">
        <w:t xml:space="preserve">The objective of the regression in this study is to find such an equation which could be used to find the predicted value of the GDP growth for a given set of </w:t>
      </w:r>
      <w:r w:rsidR="002B0E91">
        <w:t xml:space="preserve">values of </w:t>
      </w:r>
      <w:r w:rsidR="002B0E91" w:rsidRPr="004A1091">
        <w:t>growth rate of gross capital formation (GGCF), growth rate of exports of goods and services</w:t>
      </w:r>
      <w:r w:rsidR="002B0E91" w:rsidRPr="004A1091">
        <w:rPr>
          <w:b/>
          <w:bCs/>
        </w:rPr>
        <w:t xml:space="preserve"> </w:t>
      </w:r>
      <w:r w:rsidR="002B0E91" w:rsidRPr="004A1091">
        <w:t>(GEX), inflation rate (INF), exchange rate (EXR), and domestic credit to private sector as percentage of GDP (DCPV)</w:t>
      </w:r>
      <w:r w:rsidR="002B0E91">
        <w:t xml:space="preserve">. </w:t>
      </w:r>
      <w:r w:rsidR="002B0E91" w:rsidRPr="004A1091">
        <w:t xml:space="preserve"> </w:t>
      </w:r>
      <w:r w:rsidR="00D258F0" w:rsidRPr="004A1091">
        <w:t>The specified multiple regression equation takes the following form</w:t>
      </w:r>
      <w:r w:rsidR="00A731C7" w:rsidRPr="004A1091">
        <w:t>:</w:t>
      </w:r>
    </w:p>
    <w:p w:rsidR="00A731C7" w:rsidRPr="004A1091" w:rsidRDefault="0002158E" w:rsidP="00357C17">
      <w:pPr>
        <w:autoSpaceDE w:val="0"/>
        <w:autoSpaceDN w:val="0"/>
        <w:adjustRightInd w:val="0"/>
        <w:spacing w:line="360" w:lineRule="auto"/>
        <w:ind w:firstLine="720"/>
        <w:jc w:val="both"/>
      </w:pPr>
      <w:r w:rsidRPr="004A1091">
        <w:t>GGDP</w:t>
      </w:r>
      <w:r w:rsidRPr="004A1091">
        <w:rPr>
          <w:vertAlign w:val="subscript"/>
        </w:rPr>
        <w:t>t</w:t>
      </w:r>
      <w:r w:rsidRPr="004A1091">
        <w:t xml:space="preserve"> = </w:t>
      </w:r>
      <w:r w:rsidR="00357C17" w:rsidRPr="004A1091">
        <w:sym w:font="Symbol" w:char="F062"/>
      </w:r>
      <w:r w:rsidR="00357C17" w:rsidRPr="004A1091">
        <w:rPr>
          <w:vertAlign w:val="subscript"/>
        </w:rPr>
        <w:t>0</w:t>
      </w:r>
      <w:r w:rsidR="00357C17" w:rsidRPr="004A1091">
        <w:t xml:space="preserve"> + </w:t>
      </w:r>
      <w:r w:rsidR="00357C17" w:rsidRPr="004A1091">
        <w:sym w:font="Symbol" w:char="F062"/>
      </w:r>
      <w:r w:rsidR="00357C17" w:rsidRPr="004A1091">
        <w:rPr>
          <w:vertAlign w:val="subscript"/>
        </w:rPr>
        <w:t>1</w:t>
      </w:r>
      <w:r w:rsidRPr="004A1091">
        <w:t>GGCF</w:t>
      </w:r>
      <w:r w:rsidRPr="004A1091">
        <w:rPr>
          <w:vertAlign w:val="subscript"/>
        </w:rPr>
        <w:t>t</w:t>
      </w:r>
      <w:r w:rsidRPr="004A1091">
        <w:t xml:space="preserve"> + </w:t>
      </w:r>
      <w:r w:rsidR="00357C17" w:rsidRPr="004A1091">
        <w:sym w:font="Symbol" w:char="F062"/>
      </w:r>
      <w:r w:rsidR="00357C17" w:rsidRPr="004A1091">
        <w:rPr>
          <w:vertAlign w:val="subscript"/>
        </w:rPr>
        <w:t>2</w:t>
      </w:r>
      <w:r w:rsidRPr="004A1091">
        <w:t>GEX</w:t>
      </w:r>
      <w:r w:rsidRPr="004A1091">
        <w:rPr>
          <w:vertAlign w:val="subscript"/>
        </w:rPr>
        <w:t>t</w:t>
      </w:r>
      <w:r w:rsidRPr="004A1091">
        <w:t xml:space="preserve"> + </w:t>
      </w:r>
      <w:r w:rsidR="00357C17" w:rsidRPr="004A1091">
        <w:sym w:font="Symbol" w:char="F062"/>
      </w:r>
      <w:r w:rsidR="00357C17" w:rsidRPr="004A1091">
        <w:rPr>
          <w:vertAlign w:val="subscript"/>
        </w:rPr>
        <w:t>3</w:t>
      </w:r>
      <w:r w:rsidRPr="004A1091">
        <w:t>INF</w:t>
      </w:r>
      <w:r w:rsidRPr="004A1091">
        <w:rPr>
          <w:vertAlign w:val="subscript"/>
        </w:rPr>
        <w:t>t</w:t>
      </w:r>
      <w:r w:rsidRPr="004A1091">
        <w:t xml:space="preserve"> + </w:t>
      </w:r>
      <w:r w:rsidR="00357C17" w:rsidRPr="004A1091">
        <w:sym w:font="Symbol" w:char="F062"/>
      </w:r>
      <w:r w:rsidR="00357C17" w:rsidRPr="004A1091">
        <w:rPr>
          <w:vertAlign w:val="subscript"/>
        </w:rPr>
        <w:t>4</w:t>
      </w:r>
      <w:r w:rsidRPr="004A1091">
        <w:t>EXR</w:t>
      </w:r>
      <w:r w:rsidRPr="004A1091">
        <w:rPr>
          <w:vertAlign w:val="subscript"/>
        </w:rPr>
        <w:t>t</w:t>
      </w:r>
      <w:r w:rsidRPr="004A1091">
        <w:t xml:space="preserve"> + </w:t>
      </w:r>
      <w:r w:rsidR="00357C17" w:rsidRPr="004A1091">
        <w:sym w:font="Symbol" w:char="F062"/>
      </w:r>
      <w:r w:rsidR="00357C17" w:rsidRPr="004A1091">
        <w:rPr>
          <w:vertAlign w:val="subscript"/>
        </w:rPr>
        <w:t>5</w:t>
      </w:r>
      <w:r w:rsidRPr="004A1091">
        <w:t>DCPV</w:t>
      </w:r>
      <w:r w:rsidR="00357C17" w:rsidRPr="004A1091">
        <w:rPr>
          <w:vertAlign w:val="subscript"/>
        </w:rPr>
        <w:t>t</w:t>
      </w:r>
      <w:r w:rsidRPr="004A1091">
        <w:t xml:space="preserve"> +</w:t>
      </w:r>
      <w:r w:rsidR="00357C17" w:rsidRPr="004A1091">
        <w:t xml:space="preserve"> U</w:t>
      </w:r>
      <w:r w:rsidR="00357C17" w:rsidRPr="004A1091">
        <w:rPr>
          <w:vertAlign w:val="subscript"/>
        </w:rPr>
        <w:t>t</w:t>
      </w:r>
      <w:r w:rsidR="00357C17" w:rsidRPr="004A1091">
        <w:t xml:space="preserve">                                (1)</w:t>
      </w:r>
    </w:p>
    <w:p w:rsidR="00357C17" w:rsidRDefault="00FC78E6" w:rsidP="00AA3E5E">
      <w:pPr>
        <w:autoSpaceDE w:val="0"/>
        <w:autoSpaceDN w:val="0"/>
        <w:adjustRightInd w:val="0"/>
        <w:spacing w:line="360" w:lineRule="auto"/>
        <w:ind w:firstLine="720"/>
        <w:jc w:val="both"/>
      </w:pPr>
      <w:r w:rsidRPr="004A1091">
        <w:t>As specified in the above equation GGDP</w:t>
      </w:r>
      <w:r w:rsidRPr="004A1091">
        <w:rPr>
          <w:vertAlign w:val="subscript"/>
        </w:rPr>
        <w:t>t</w:t>
      </w:r>
      <w:r w:rsidRPr="004A1091">
        <w:t xml:space="preserve"> is the dependent variable and other five variables are independent. </w:t>
      </w:r>
      <w:r w:rsidR="00A15E7E" w:rsidRPr="004A1091">
        <w:t>Since all the variables are time series’, subscript t denotes the time period.</w:t>
      </w:r>
      <w:r w:rsidR="00455361" w:rsidRPr="004A1091">
        <w:t xml:space="preserve"> </w:t>
      </w:r>
      <w:r w:rsidR="00455361" w:rsidRPr="004A1091">
        <w:sym w:font="Symbol" w:char="F062"/>
      </w:r>
      <w:r w:rsidR="00455361" w:rsidRPr="004A1091">
        <w:rPr>
          <w:vertAlign w:val="subscript"/>
        </w:rPr>
        <w:t xml:space="preserve">0 </w:t>
      </w:r>
      <w:r w:rsidR="00455361" w:rsidRPr="004A1091">
        <w:t xml:space="preserve">is the constant term. </w:t>
      </w:r>
      <w:r w:rsidR="00455361" w:rsidRPr="004A1091">
        <w:sym w:font="Symbol" w:char="F062"/>
      </w:r>
      <w:r w:rsidR="00455361" w:rsidRPr="004A1091">
        <w:rPr>
          <w:vertAlign w:val="subscript"/>
        </w:rPr>
        <w:t>1</w:t>
      </w:r>
      <w:r w:rsidR="00455361" w:rsidRPr="004A1091">
        <w:t>,</w:t>
      </w:r>
      <w:r w:rsidR="00455361" w:rsidRPr="004A1091">
        <w:rPr>
          <w:vertAlign w:val="subscript"/>
        </w:rPr>
        <w:t xml:space="preserve"> </w:t>
      </w:r>
      <w:r w:rsidR="00455361" w:rsidRPr="004A1091">
        <w:sym w:font="Symbol" w:char="F062"/>
      </w:r>
      <w:r w:rsidR="00455361" w:rsidRPr="004A1091">
        <w:rPr>
          <w:vertAlign w:val="subscript"/>
        </w:rPr>
        <w:t>2</w:t>
      </w:r>
      <w:r w:rsidR="00455361" w:rsidRPr="004A1091">
        <w:t>,</w:t>
      </w:r>
      <w:r w:rsidR="00455361" w:rsidRPr="004A1091">
        <w:rPr>
          <w:vertAlign w:val="subscript"/>
        </w:rPr>
        <w:t xml:space="preserve"> </w:t>
      </w:r>
      <w:r w:rsidR="00455361" w:rsidRPr="004A1091">
        <w:sym w:font="Symbol" w:char="F062"/>
      </w:r>
      <w:r w:rsidR="00455361" w:rsidRPr="004A1091">
        <w:rPr>
          <w:vertAlign w:val="subscript"/>
        </w:rPr>
        <w:t>3</w:t>
      </w:r>
      <w:r w:rsidR="00455361" w:rsidRPr="004A1091">
        <w:t>,</w:t>
      </w:r>
      <w:r w:rsidR="00455361" w:rsidRPr="004A1091">
        <w:rPr>
          <w:vertAlign w:val="subscript"/>
        </w:rPr>
        <w:t xml:space="preserve"> </w:t>
      </w:r>
      <w:r w:rsidR="00455361" w:rsidRPr="004A1091">
        <w:sym w:font="Symbol" w:char="F062"/>
      </w:r>
      <w:r w:rsidR="00455361" w:rsidRPr="004A1091">
        <w:rPr>
          <w:vertAlign w:val="subscript"/>
        </w:rPr>
        <w:t>4</w:t>
      </w:r>
      <w:r w:rsidR="00455361" w:rsidRPr="004A1091">
        <w:t>,</w:t>
      </w:r>
      <w:r w:rsidR="00455361" w:rsidRPr="004A1091">
        <w:rPr>
          <w:vertAlign w:val="subscript"/>
        </w:rPr>
        <w:t xml:space="preserve"> </w:t>
      </w:r>
      <w:r w:rsidR="00455361" w:rsidRPr="004A1091">
        <w:t xml:space="preserve">and </w:t>
      </w:r>
      <w:r w:rsidR="00455361" w:rsidRPr="004A1091">
        <w:sym w:font="Symbol" w:char="F062"/>
      </w:r>
      <w:r w:rsidR="00455361" w:rsidRPr="004A1091">
        <w:rPr>
          <w:vertAlign w:val="subscript"/>
        </w:rPr>
        <w:t>5</w:t>
      </w:r>
      <w:r w:rsidR="00455361" w:rsidRPr="004A1091">
        <w:t xml:space="preserve"> are the partial regression coefficients of the independent variables.</w:t>
      </w:r>
      <w:r w:rsidR="003A6598" w:rsidRPr="004A1091">
        <w:t xml:space="preserve"> </w:t>
      </w:r>
      <w:r w:rsidR="0047686A" w:rsidRPr="004A1091">
        <w:t>A partial regression coefficient represents the change in dependent variable</w:t>
      </w:r>
      <w:r w:rsidR="00016862" w:rsidRPr="004A1091">
        <w:t>, ceteris paribus,</w:t>
      </w:r>
      <w:r w:rsidR="0047686A" w:rsidRPr="004A1091">
        <w:t xml:space="preserve"> due to one unit change in independent variable.</w:t>
      </w:r>
      <w:r w:rsidR="00455361" w:rsidRPr="004A1091">
        <w:t xml:space="preserve"> </w:t>
      </w:r>
      <w:r w:rsidR="002853C6" w:rsidRPr="004A1091">
        <w:t>U</w:t>
      </w:r>
      <w:r w:rsidR="002853C6" w:rsidRPr="004A1091">
        <w:rPr>
          <w:vertAlign w:val="subscript"/>
        </w:rPr>
        <w:t xml:space="preserve">t </w:t>
      </w:r>
      <w:r w:rsidR="002853C6" w:rsidRPr="004A1091">
        <w:t>is the error term.</w:t>
      </w:r>
      <w:r w:rsidR="00B21686" w:rsidRPr="004A1091">
        <w:t xml:space="preserve"> </w:t>
      </w:r>
      <w:r w:rsidR="0037181C" w:rsidRPr="004A1091">
        <w:t xml:space="preserve">To test the </w:t>
      </w:r>
      <w:r w:rsidR="00366289">
        <w:t xml:space="preserve">significance of the </w:t>
      </w:r>
      <w:r w:rsidR="0037181C" w:rsidRPr="004A1091">
        <w:t xml:space="preserve">individual </w:t>
      </w:r>
      <w:r w:rsidR="00366289">
        <w:t>coefficients</w:t>
      </w:r>
      <w:r w:rsidR="0037181C" w:rsidRPr="004A1091">
        <w:t xml:space="preserve"> t-test is also employed in this study. </w:t>
      </w:r>
      <w:r w:rsidR="00D81F38" w:rsidRPr="004A1091">
        <w:t xml:space="preserve">Overall goodness of fit of the model is checked through F-test and the </w:t>
      </w:r>
      <w:r w:rsidR="00366289">
        <w:t xml:space="preserve">adjusted </w:t>
      </w:r>
      <w:r w:rsidR="00D81F38" w:rsidRPr="004A1091">
        <w:t xml:space="preserve">coefficient of determination </w:t>
      </w:r>
      <w:r w:rsidR="00366289">
        <w:t xml:space="preserve">(adj. </w:t>
      </w:r>
      <w:r w:rsidR="00D81F38" w:rsidRPr="004A1091">
        <w:t>R</w:t>
      </w:r>
      <w:r w:rsidR="00D81F38" w:rsidRPr="004A1091">
        <w:rPr>
          <w:vertAlign w:val="superscript"/>
        </w:rPr>
        <w:t>2</w:t>
      </w:r>
      <w:r w:rsidR="00366289" w:rsidRPr="00366289">
        <w:t>)</w:t>
      </w:r>
      <w:r w:rsidR="00CB3633">
        <w:t>.</w:t>
      </w:r>
      <w:r w:rsidR="00EA45BE" w:rsidRPr="004A1091">
        <w:t xml:space="preserve"> To test the problem of autocorrelation Durbin Watson (DW) test is also conducted.</w:t>
      </w:r>
    </w:p>
    <w:p w:rsidR="00FB1273" w:rsidRDefault="00FB1273" w:rsidP="00724C9D">
      <w:pPr>
        <w:autoSpaceDE w:val="0"/>
        <w:autoSpaceDN w:val="0"/>
        <w:adjustRightInd w:val="0"/>
        <w:spacing w:line="360" w:lineRule="auto"/>
        <w:jc w:val="both"/>
        <w:rPr>
          <w:b/>
          <w:bCs/>
          <w:sz w:val="28"/>
          <w:szCs w:val="28"/>
        </w:rPr>
      </w:pPr>
      <w:r w:rsidRPr="00FB1273">
        <w:rPr>
          <w:b/>
          <w:bCs/>
          <w:sz w:val="28"/>
          <w:szCs w:val="28"/>
        </w:rPr>
        <w:t>Justification of the Method:</w:t>
      </w:r>
    </w:p>
    <w:p w:rsidR="00FB1273" w:rsidRDefault="007B6123" w:rsidP="00497A50">
      <w:pPr>
        <w:autoSpaceDE w:val="0"/>
        <w:autoSpaceDN w:val="0"/>
        <w:adjustRightInd w:val="0"/>
        <w:spacing w:line="360" w:lineRule="auto"/>
        <w:ind w:firstLine="360"/>
        <w:jc w:val="both"/>
      </w:pPr>
      <w:r>
        <w:t>This study has used t</w:t>
      </w:r>
      <w:r w:rsidR="00FB1273">
        <w:t>he descriptive statistics to present the overall picture of the variables</w:t>
      </w:r>
      <w:r w:rsidR="00AA3E5E">
        <w:t>.</w:t>
      </w:r>
      <w:r w:rsidR="00FB1273">
        <w:t xml:space="preserve"> </w:t>
      </w:r>
      <w:r>
        <w:t>For the initial look on the relationship between different variables t</w:t>
      </w:r>
      <w:r w:rsidR="00FB1273">
        <w:t>he scatter-plot matrix is used</w:t>
      </w:r>
      <w:r>
        <w:t>.</w:t>
      </w:r>
      <w:r w:rsidR="00FB1273">
        <w:t xml:space="preserve"> This matrix shows all the possible two dimension plots of the variables. </w:t>
      </w:r>
      <w:r w:rsidR="002D03D8">
        <w:t>Magnitudes and signs of the correlation coefficients are provided in the table of correlations. This table is used to view the strength and direction of the relationship between the variables.</w:t>
      </w:r>
      <w:r w:rsidR="00FB1273">
        <w:t xml:space="preserve"> This table also provides the </w:t>
      </w:r>
      <w:r w:rsidR="00FB1273" w:rsidRPr="00DB343A">
        <w:rPr>
          <w:i/>
          <w:iCs/>
        </w:rPr>
        <w:t>P-values</w:t>
      </w:r>
      <w:r w:rsidR="00FB1273">
        <w:t xml:space="preserve"> of the test of the null hypothesis that </w:t>
      </w:r>
      <w:r w:rsidR="00497A50">
        <w:t>states that there</w:t>
      </w:r>
      <w:r w:rsidR="00FB1273">
        <w:t xml:space="preserve"> is no correlation between two variables. </w:t>
      </w:r>
      <w:r w:rsidR="008F2F30">
        <w:t>This table is</w:t>
      </w:r>
      <w:r w:rsidR="00FB1273">
        <w:t xml:space="preserve"> </w:t>
      </w:r>
      <w:r w:rsidR="00497A50">
        <w:t>used</w:t>
      </w:r>
      <w:r w:rsidR="00FB1273">
        <w:t xml:space="preserve"> to </w:t>
      </w:r>
      <w:r w:rsidR="00497A50">
        <w:t>indicate</w:t>
      </w:r>
      <w:r w:rsidR="00FB1273">
        <w:t xml:space="preserve"> the problem of multi-collinearity</w:t>
      </w:r>
      <w:r w:rsidR="008F2F30">
        <w:t xml:space="preserve"> as well</w:t>
      </w:r>
      <w:r w:rsidR="00FB1273">
        <w:t>.</w:t>
      </w:r>
    </w:p>
    <w:p w:rsidR="0060209B" w:rsidRPr="004A1091" w:rsidRDefault="0060209B" w:rsidP="00DC34FA">
      <w:pPr>
        <w:autoSpaceDE w:val="0"/>
        <w:autoSpaceDN w:val="0"/>
        <w:adjustRightInd w:val="0"/>
        <w:spacing w:line="360" w:lineRule="auto"/>
        <w:ind w:firstLine="720"/>
        <w:jc w:val="both"/>
      </w:pPr>
      <w:r>
        <w:t xml:space="preserve">The method of multiple-regression is used to estimate the effect of </w:t>
      </w:r>
      <w:r w:rsidR="001C7063">
        <w:t>multiple</w:t>
      </w:r>
      <w:r>
        <w:t xml:space="preserve"> predictors on the predicted.</w:t>
      </w:r>
      <w:r w:rsidR="006937DF">
        <w:t xml:space="preserve"> </w:t>
      </w:r>
      <w:r w:rsidR="001C7063">
        <w:t xml:space="preserve">Considering </w:t>
      </w:r>
      <w:r w:rsidR="00692545">
        <w:t xml:space="preserve">the objective of this study </w:t>
      </w:r>
      <w:r w:rsidR="001C7063">
        <w:t xml:space="preserve">the multiple-regression analysis is </w:t>
      </w:r>
      <w:r w:rsidR="00692545">
        <w:t xml:space="preserve">used in this study to estimate the partial regression coefficients of the </w:t>
      </w:r>
      <w:r w:rsidR="00DB1DC2">
        <w:t>independent variables</w:t>
      </w:r>
      <w:r w:rsidR="00692545">
        <w:t xml:space="preserve"> and their statistical significance. </w:t>
      </w:r>
      <w:r w:rsidR="00DB1DC2">
        <w:t xml:space="preserve">We have used the method of multiple-regression because </w:t>
      </w:r>
      <w:r w:rsidR="0021270B">
        <w:t xml:space="preserve">there are </w:t>
      </w:r>
      <w:r w:rsidR="00DC34FA">
        <w:t>five</w:t>
      </w:r>
      <w:r w:rsidR="0021270B">
        <w:t xml:space="preserve"> independent variables </w:t>
      </w:r>
      <w:r w:rsidR="00DC34FA">
        <w:t xml:space="preserve">in this study </w:t>
      </w:r>
      <w:r w:rsidR="0021270B">
        <w:t xml:space="preserve">and </w:t>
      </w:r>
      <w:r w:rsidR="00DB1DC2">
        <w:t>all of the</w:t>
      </w:r>
      <w:r w:rsidR="0021270B">
        <w:t>m</w:t>
      </w:r>
      <w:r w:rsidR="00DB1DC2">
        <w:t xml:space="preserve"> </w:t>
      </w:r>
      <w:r w:rsidR="0021270B">
        <w:t>are scale variables.</w:t>
      </w:r>
      <w:r w:rsidR="001C7063">
        <w:t xml:space="preserve"> </w:t>
      </w:r>
    </w:p>
    <w:p w:rsidR="004F1ECA" w:rsidRPr="000F1204" w:rsidRDefault="004F1ECA" w:rsidP="004F1ECA">
      <w:pPr>
        <w:autoSpaceDE w:val="0"/>
        <w:autoSpaceDN w:val="0"/>
        <w:adjustRightInd w:val="0"/>
        <w:spacing w:line="360" w:lineRule="auto"/>
        <w:jc w:val="center"/>
        <w:rPr>
          <w:b/>
          <w:bCs/>
          <w:sz w:val="6"/>
          <w:szCs w:val="6"/>
        </w:rPr>
      </w:pPr>
    </w:p>
    <w:p w:rsidR="0061645B" w:rsidRDefault="004F1ECA" w:rsidP="00F41A70">
      <w:pPr>
        <w:numPr>
          <w:ilvl w:val="0"/>
          <w:numId w:val="8"/>
        </w:numPr>
        <w:autoSpaceDE w:val="0"/>
        <w:autoSpaceDN w:val="0"/>
        <w:adjustRightInd w:val="0"/>
        <w:spacing w:line="360" w:lineRule="auto"/>
        <w:jc w:val="center"/>
        <w:rPr>
          <w:b/>
          <w:bCs/>
          <w:sz w:val="30"/>
          <w:szCs w:val="30"/>
        </w:rPr>
      </w:pPr>
      <w:r>
        <w:rPr>
          <w:b/>
          <w:bCs/>
          <w:sz w:val="30"/>
          <w:szCs w:val="30"/>
        </w:rPr>
        <w:t>Empirical Findings</w:t>
      </w:r>
    </w:p>
    <w:p w:rsidR="00F41A70" w:rsidRPr="00F41A70" w:rsidRDefault="00F41A70" w:rsidP="00F41A70">
      <w:pPr>
        <w:autoSpaceDE w:val="0"/>
        <w:autoSpaceDN w:val="0"/>
        <w:adjustRightInd w:val="0"/>
        <w:spacing w:line="360" w:lineRule="auto"/>
        <w:ind w:left="360"/>
        <w:jc w:val="both"/>
      </w:pPr>
      <w:r w:rsidRPr="00F41A70">
        <w:t xml:space="preserve">In this </w:t>
      </w:r>
      <w:r>
        <w:t>part of the study empirical findings have been shown and interpreted. Table 3.1 presents the descriptive statistics which show the overall picture of the variables.</w:t>
      </w:r>
    </w:p>
    <w:p w:rsidR="00B80E43" w:rsidRDefault="00B80E43" w:rsidP="00A328CB">
      <w:pPr>
        <w:tabs>
          <w:tab w:val="center" w:pos="4204"/>
        </w:tabs>
        <w:autoSpaceDE w:val="0"/>
        <w:autoSpaceDN w:val="0"/>
        <w:adjustRightInd w:val="0"/>
        <w:jc w:val="center"/>
        <w:rPr>
          <w:b/>
          <w:bCs/>
          <w:color w:val="000000"/>
          <w:sz w:val="28"/>
          <w:szCs w:val="28"/>
        </w:rPr>
      </w:pPr>
    </w:p>
    <w:p w:rsidR="00250131" w:rsidRDefault="00250131" w:rsidP="00A328CB">
      <w:pPr>
        <w:tabs>
          <w:tab w:val="center" w:pos="4204"/>
        </w:tabs>
        <w:autoSpaceDE w:val="0"/>
        <w:autoSpaceDN w:val="0"/>
        <w:adjustRightInd w:val="0"/>
        <w:jc w:val="center"/>
        <w:rPr>
          <w:b/>
          <w:bCs/>
          <w:color w:val="000000"/>
          <w:sz w:val="28"/>
          <w:szCs w:val="28"/>
        </w:rPr>
      </w:pPr>
    </w:p>
    <w:p w:rsidR="00B80E43" w:rsidRDefault="00B80E43" w:rsidP="00A328CB">
      <w:pPr>
        <w:tabs>
          <w:tab w:val="center" w:pos="4204"/>
        </w:tabs>
        <w:autoSpaceDE w:val="0"/>
        <w:autoSpaceDN w:val="0"/>
        <w:adjustRightInd w:val="0"/>
        <w:jc w:val="center"/>
        <w:rPr>
          <w:b/>
          <w:bCs/>
          <w:color w:val="000000"/>
          <w:sz w:val="28"/>
          <w:szCs w:val="28"/>
        </w:rPr>
      </w:pPr>
    </w:p>
    <w:p w:rsidR="00A328CB" w:rsidRDefault="00A328CB" w:rsidP="00A328CB">
      <w:pPr>
        <w:tabs>
          <w:tab w:val="center" w:pos="4204"/>
        </w:tabs>
        <w:autoSpaceDE w:val="0"/>
        <w:autoSpaceDN w:val="0"/>
        <w:adjustRightInd w:val="0"/>
        <w:jc w:val="center"/>
        <w:rPr>
          <w:b/>
          <w:bCs/>
          <w:color w:val="000000"/>
          <w:sz w:val="28"/>
          <w:szCs w:val="28"/>
        </w:rPr>
      </w:pPr>
      <w:r>
        <w:rPr>
          <w:b/>
          <w:bCs/>
          <w:color w:val="000000"/>
          <w:sz w:val="28"/>
          <w:szCs w:val="28"/>
        </w:rPr>
        <w:lastRenderedPageBreak/>
        <w:t>Table 3.1</w:t>
      </w:r>
    </w:p>
    <w:p w:rsidR="002B0AFC" w:rsidRPr="00816D60" w:rsidRDefault="00A328CB" w:rsidP="002B0AFC">
      <w:pPr>
        <w:tabs>
          <w:tab w:val="center" w:pos="4204"/>
        </w:tabs>
        <w:autoSpaceDE w:val="0"/>
        <w:autoSpaceDN w:val="0"/>
        <w:adjustRightInd w:val="0"/>
        <w:jc w:val="center"/>
        <w:rPr>
          <w:rFonts w:ascii="Arabic Transparent" w:cs="Arabic Transparent"/>
          <w:b/>
          <w:bCs/>
          <w:color w:val="000000"/>
          <w:sz w:val="18"/>
          <w:szCs w:val="18"/>
        </w:rPr>
      </w:pPr>
      <w:r w:rsidRPr="00A328CB">
        <w:rPr>
          <w:b/>
          <w:bCs/>
          <w:color w:val="000000"/>
          <w:sz w:val="28"/>
          <w:szCs w:val="28"/>
        </w:rPr>
        <w:t>Descriptive Statistics</w:t>
      </w:r>
    </w:p>
    <w:p w:rsidR="002B0AFC" w:rsidRPr="00816D60" w:rsidRDefault="002B0AFC" w:rsidP="002B0AFC">
      <w:pPr>
        <w:tabs>
          <w:tab w:val="center" w:pos="4204"/>
        </w:tabs>
        <w:autoSpaceDE w:val="0"/>
        <w:autoSpaceDN w:val="0"/>
        <w:adjustRightInd w:val="0"/>
        <w:rPr>
          <w:rFonts w:ascii="Arabic Transparent" w:cs="Arabic Transparent"/>
          <w:b/>
          <w:bCs/>
          <w:color w:val="000000"/>
          <w:sz w:val="18"/>
          <w:szCs w:val="18"/>
        </w:rPr>
      </w:pPr>
    </w:p>
    <w:tbl>
      <w:tblPr>
        <w:tblW w:w="0" w:type="auto"/>
        <w:jc w:val="center"/>
        <w:tblLayout w:type="fixed"/>
        <w:tblCellMar>
          <w:left w:w="93" w:type="dxa"/>
          <w:right w:w="93" w:type="dxa"/>
        </w:tblCellMar>
        <w:tblLook w:val="0000"/>
      </w:tblPr>
      <w:tblGrid>
        <w:gridCol w:w="2908"/>
        <w:gridCol w:w="576"/>
        <w:gridCol w:w="1080"/>
        <w:gridCol w:w="1080"/>
        <w:gridCol w:w="1080"/>
        <w:gridCol w:w="1396"/>
      </w:tblGrid>
      <w:tr w:rsidR="002B0AFC" w:rsidRPr="00816D60">
        <w:trPr>
          <w:trHeight w:val="273"/>
          <w:jc w:val="center"/>
        </w:trPr>
        <w:tc>
          <w:tcPr>
            <w:tcW w:w="2908" w:type="dxa"/>
            <w:tcBorders>
              <w:top w:val="single" w:sz="12" w:space="0" w:color="000000"/>
              <w:left w:val="single" w:sz="12" w:space="0" w:color="000000"/>
              <w:bottom w:val="single" w:sz="12" w:space="0" w:color="000000"/>
              <w:right w:val="single" w:sz="1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p>
        </w:tc>
        <w:tc>
          <w:tcPr>
            <w:tcW w:w="576" w:type="dxa"/>
            <w:tcBorders>
              <w:top w:val="single" w:sz="12" w:space="0" w:color="000000"/>
              <w:left w:val="single" w:sz="12" w:space="0" w:color="000000"/>
              <w:bottom w:val="single" w:sz="12" w:space="0" w:color="000000"/>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Minimum</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Maximum</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Mean</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Std. Deviation</w:t>
            </w:r>
          </w:p>
        </w:tc>
      </w:tr>
      <w:tr w:rsidR="002B0AFC" w:rsidRPr="00816D60">
        <w:trPr>
          <w:trHeight w:val="273"/>
          <w:jc w:val="center"/>
        </w:trPr>
        <w:tc>
          <w:tcPr>
            <w:tcW w:w="2908" w:type="dxa"/>
            <w:tcBorders>
              <w:top w:val="single" w:sz="12" w:space="0" w:color="000000"/>
              <w:left w:val="single" w:sz="12" w:space="0" w:color="000000"/>
              <w:bottom w:val="nil"/>
              <w:right w:val="single" w:sz="1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GDP growth (annual %)</w:t>
            </w:r>
          </w:p>
        </w:tc>
        <w:tc>
          <w:tcPr>
            <w:tcW w:w="576" w:type="dxa"/>
            <w:tcBorders>
              <w:top w:val="single" w:sz="12" w:space="0" w:color="000000"/>
              <w:left w:val="single" w:sz="1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45</w:t>
            </w:r>
          </w:p>
        </w:tc>
        <w:tc>
          <w:tcPr>
            <w:tcW w:w="1080" w:type="dxa"/>
            <w:tcBorders>
              <w:top w:val="single" w:sz="12" w:space="0" w:color="000000"/>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.4684</w:t>
            </w:r>
          </w:p>
        </w:tc>
        <w:tc>
          <w:tcPr>
            <w:tcW w:w="1080" w:type="dxa"/>
            <w:tcBorders>
              <w:top w:val="single" w:sz="12" w:space="0" w:color="000000"/>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11.3535</w:t>
            </w:r>
          </w:p>
        </w:tc>
        <w:tc>
          <w:tcPr>
            <w:tcW w:w="1080" w:type="dxa"/>
            <w:tcBorders>
              <w:top w:val="single" w:sz="12" w:space="0" w:color="000000"/>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5.473433</w:t>
            </w:r>
          </w:p>
        </w:tc>
        <w:tc>
          <w:tcPr>
            <w:tcW w:w="1396" w:type="dxa"/>
            <w:tcBorders>
              <w:top w:val="single" w:sz="12" w:space="0" w:color="000000"/>
              <w:left w:val="single" w:sz="2" w:space="0" w:color="000000"/>
              <w:bottom w:val="nil"/>
              <w:right w:val="single" w:sz="1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2.4684316</w:t>
            </w:r>
          </w:p>
        </w:tc>
      </w:tr>
      <w:tr w:rsidR="002B0AFC" w:rsidRPr="00816D60">
        <w:trPr>
          <w:trHeight w:val="734"/>
          <w:jc w:val="center"/>
        </w:trPr>
        <w:tc>
          <w:tcPr>
            <w:tcW w:w="2908" w:type="dxa"/>
            <w:tcBorders>
              <w:top w:val="nil"/>
              <w:left w:val="single" w:sz="12" w:space="0" w:color="000000"/>
              <w:bottom w:val="nil"/>
              <w:right w:val="single" w:sz="1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Exports of goods and services (annual % growth)</w:t>
            </w:r>
          </w:p>
        </w:tc>
        <w:tc>
          <w:tcPr>
            <w:tcW w:w="576"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45</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-17.5821</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38.9665</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6.941759</w:t>
            </w:r>
          </w:p>
        </w:tc>
        <w:tc>
          <w:tcPr>
            <w:tcW w:w="1396"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12.6909687</w:t>
            </w:r>
          </w:p>
        </w:tc>
      </w:tr>
      <w:tr w:rsidR="002B0AFC" w:rsidRPr="00816D60">
        <w:trPr>
          <w:trHeight w:val="504"/>
          <w:jc w:val="center"/>
        </w:trPr>
        <w:tc>
          <w:tcPr>
            <w:tcW w:w="2908" w:type="dxa"/>
            <w:tcBorders>
              <w:top w:val="nil"/>
              <w:left w:val="single" w:sz="12" w:space="0" w:color="000000"/>
              <w:bottom w:val="nil"/>
              <w:right w:val="single" w:sz="1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Gross capital formation (annual % growth)</w:t>
            </w:r>
          </w:p>
        </w:tc>
        <w:tc>
          <w:tcPr>
            <w:tcW w:w="576"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45</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-24.0962</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60.0319</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5.489317</w:t>
            </w:r>
          </w:p>
        </w:tc>
        <w:tc>
          <w:tcPr>
            <w:tcW w:w="1396"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11.8540447</w:t>
            </w:r>
          </w:p>
        </w:tc>
      </w:tr>
      <w:tr w:rsidR="002B0AFC" w:rsidRPr="00816D60">
        <w:trPr>
          <w:trHeight w:val="504"/>
          <w:jc w:val="center"/>
        </w:trPr>
        <w:tc>
          <w:tcPr>
            <w:tcW w:w="2908" w:type="dxa"/>
            <w:tcBorders>
              <w:top w:val="nil"/>
              <w:left w:val="single" w:sz="12" w:space="0" w:color="000000"/>
              <w:bottom w:val="nil"/>
              <w:right w:val="single" w:sz="1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Inflation, consumer prices (annual %)</w:t>
            </w:r>
          </w:p>
        </w:tc>
        <w:tc>
          <w:tcPr>
            <w:tcW w:w="576"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45</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-.5165</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26.6630</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7.719210</w:t>
            </w:r>
          </w:p>
        </w:tc>
        <w:tc>
          <w:tcPr>
            <w:tcW w:w="1396"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5.4259583</w:t>
            </w:r>
          </w:p>
        </w:tc>
      </w:tr>
      <w:tr w:rsidR="002B0AFC" w:rsidRPr="00816D60">
        <w:trPr>
          <w:trHeight w:val="734"/>
          <w:jc w:val="center"/>
        </w:trPr>
        <w:tc>
          <w:tcPr>
            <w:tcW w:w="2908" w:type="dxa"/>
            <w:tcBorders>
              <w:top w:val="nil"/>
              <w:left w:val="single" w:sz="12" w:space="0" w:color="000000"/>
              <w:bottom w:val="nil"/>
              <w:right w:val="single" w:sz="1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Official exchange rate (LCU per US$, period average)</w:t>
            </w:r>
          </w:p>
        </w:tc>
        <w:tc>
          <w:tcPr>
            <w:tcW w:w="576"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45</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4.7619</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61.9272</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21.361227</w:t>
            </w:r>
          </w:p>
        </w:tc>
        <w:tc>
          <w:tcPr>
            <w:tcW w:w="1396"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18.5739194</w:t>
            </w:r>
          </w:p>
        </w:tc>
      </w:tr>
      <w:tr w:rsidR="002B0AFC" w:rsidRPr="00816D60">
        <w:trPr>
          <w:trHeight w:val="504"/>
          <w:jc w:val="center"/>
        </w:trPr>
        <w:tc>
          <w:tcPr>
            <w:tcW w:w="2908" w:type="dxa"/>
            <w:tcBorders>
              <w:top w:val="nil"/>
              <w:left w:val="single" w:sz="12" w:space="0" w:color="000000"/>
              <w:bottom w:val="nil"/>
              <w:right w:val="single" w:sz="1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Domestic credit to private sector (% of GDP)</w:t>
            </w:r>
          </w:p>
        </w:tc>
        <w:tc>
          <w:tcPr>
            <w:tcW w:w="576"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45</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12.1996</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29.7861</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24.082181</w:t>
            </w:r>
          </w:p>
        </w:tc>
        <w:tc>
          <w:tcPr>
            <w:tcW w:w="1396"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3.3477669</w:t>
            </w:r>
          </w:p>
        </w:tc>
      </w:tr>
      <w:tr w:rsidR="002B0AFC" w:rsidRPr="00816D60">
        <w:trPr>
          <w:trHeight w:val="273"/>
          <w:jc w:val="center"/>
        </w:trPr>
        <w:tc>
          <w:tcPr>
            <w:tcW w:w="2908" w:type="dxa"/>
            <w:tcBorders>
              <w:top w:val="nil"/>
              <w:left w:val="single" w:sz="12" w:space="0" w:color="000000"/>
              <w:bottom w:val="single" w:sz="12" w:space="0" w:color="000000"/>
              <w:right w:val="single" w:sz="1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Valid N (listwise)</w:t>
            </w:r>
          </w:p>
        </w:tc>
        <w:tc>
          <w:tcPr>
            <w:tcW w:w="576" w:type="dxa"/>
            <w:tcBorders>
              <w:top w:val="nil"/>
              <w:left w:val="single" w:sz="12" w:space="0" w:color="000000"/>
              <w:bottom w:val="single" w:sz="12" w:space="0" w:color="000000"/>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r w:rsidRPr="002B0AFC">
              <w:rPr>
                <w:color w:val="000000"/>
              </w:rPr>
              <w:t>45</w:t>
            </w:r>
          </w:p>
        </w:tc>
        <w:tc>
          <w:tcPr>
            <w:tcW w:w="1080" w:type="dxa"/>
            <w:tcBorders>
              <w:top w:val="nil"/>
              <w:left w:val="single" w:sz="2" w:space="0" w:color="000000"/>
              <w:bottom w:val="single" w:sz="12" w:space="0" w:color="000000"/>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p>
        </w:tc>
        <w:tc>
          <w:tcPr>
            <w:tcW w:w="1080" w:type="dxa"/>
            <w:tcBorders>
              <w:top w:val="nil"/>
              <w:left w:val="single" w:sz="2" w:space="0" w:color="000000"/>
              <w:bottom w:val="single" w:sz="12" w:space="0" w:color="000000"/>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p>
        </w:tc>
        <w:tc>
          <w:tcPr>
            <w:tcW w:w="1080" w:type="dxa"/>
            <w:tcBorders>
              <w:top w:val="nil"/>
              <w:left w:val="single" w:sz="2" w:space="0" w:color="000000"/>
              <w:bottom w:val="single" w:sz="12" w:space="0" w:color="000000"/>
              <w:right w:val="single" w:sz="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p>
        </w:tc>
        <w:tc>
          <w:tcPr>
            <w:tcW w:w="1396" w:type="dxa"/>
            <w:tcBorders>
              <w:top w:val="nil"/>
              <w:left w:val="single" w:sz="2" w:space="0" w:color="000000"/>
              <w:bottom w:val="single" w:sz="12" w:space="0" w:color="000000"/>
              <w:right w:val="single" w:sz="12" w:space="0" w:color="000000"/>
            </w:tcBorders>
            <w:shd w:val="clear" w:color="000000" w:fill="FFFFFF"/>
            <w:tcMar>
              <w:left w:w="14" w:type="dxa"/>
              <w:right w:w="14" w:type="dxa"/>
            </w:tcMar>
            <w:vAlign w:val="center"/>
          </w:tcPr>
          <w:p w:rsidR="002B0AFC" w:rsidRPr="002B0AFC" w:rsidRDefault="002B0AFC" w:rsidP="002B0AFC">
            <w:pPr>
              <w:autoSpaceDE w:val="0"/>
              <w:autoSpaceDN w:val="0"/>
              <w:adjustRightInd w:val="0"/>
              <w:jc w:val="center"/>
              <w:rPr>
                <w:color w:val="000000"/>
              </w:rPr>
            </w:pPr>
          </w:p>
        </w:tc>
      </w:tr>
    </w:tbl>
    <w:p w:rsidR="002B0AFC" w:rsidRPr="00816D60" w:rsidRDefault="002B0AFC" w:rsidP="002B0AFC">
      <w:pPr>
        <w:autoSpaceDE w:val="0"/>
        <w:autoSpaceDN w:val="0"/>
        <w:adjustRightInd w:val="0"/>
        <w:rPr>
          <w:rFonts w:ascii="Arabic Transparent" w:cs="Arabic Transparent"/>
          <w:color w:val="000000"/>
          <w:sz w:val="18"/>
          <w:szCs w:val="18"/>
        </w:rPr>
      </w:pPr>
    </w:p>
    <w:p w:rsidR="00A328CB" w:rsidRDefault="00F41A70" w:rsidP="00EB77BB">
      <w:pPr>
        <w:autoSpaceDE w:val="0"/>
        <w:autoSpaceDN w:val="0"/>
        <w:adjustRightInd w:val="0"/>
        <w:spacing w:line="360" w:lineRule="auto"/>
        <w:ind w:firstLine="720"/>
        <w:jc w:val="both"/>
      </w:pPr>
      <w:r>
        <w:rPr>
          <w:color w:val="000000"/>
        </w:rPr>
        <w:t>In the above table the minimum values, maximum values, mean values and the values of standard deviation of all the six variables have been shown. Mean value provides the idea about the central tendency of the values of a variable. Number of observations of each variable is 45. Standard deviation and the extreme values (minimum in comparison to maximum value) give the idea about the dispersion of the values of a variable from its mean value.</w:t>
      </w:r>
      <w:r w:rsidR="00D55B5A">
        <w:rPr>
          <w:color w:val="000000"/>
        </w:rPr>
        <w:t xml:space="preserve"> Since different units of measure have been used for different variables the dispersion of a variable</w:t>
      </w:r>
      <w:r w:rsidR="00EB77BB">
        <w:rPr>
          <w:color w:val="000000"/>
        </w:rPr>
        <w:t xml:space="preserve"> using standard deviation</w:t>
      </w:r>
      <w:r w:rsidR="00D55B5A">
        <w:rPr>
          <w:color w:val="000000"/>
        </w:rPr>
        <w:t xml:space="preserve"> can’t be compared to that of other variable unless both the variables have the same unit of measure.</w:t>
      </w:r>
      <w:r w:rsidR="00EB77BB">
        <w:rPr>
          <w:color w:val="000000"/>
        </w:rPr>
        <w:t xml:space="preserve"> </w:t>
      </w:r>
      <w:r w:rsidR="005931B0">
        <w:rPr>
          <w:color w:val="000000"/>
        </w:rPr>
        <w:t>But still these statistics are helpful to have an idea about the central tendency and the dispersion of a variable in absolute terms rather than relative terms.</w:t>
      </w:r>
    </w:p>
    <w:p w:rsidR="00EE020E" w:rsidRDefault="000C46CC" w:rsidP="00F24946">
      <w:pPr>
        <w:autoSpaceDE w:val="0"/>
        <w:autoSpaceDN w:val="0"/>
        <w:adjustRightInd w:val="0"/>
        <w:spacing w:line="360" w:lineRule="auto"/>
        <w:ind w:firstLine="720"/>
        <w:jc w:val="both"/>
      </w:pPr>
      <w:r>
        <w:t xml:space="preserve">Figure </w:t>
      </w:r>
      <w:r w:rsidR="00E27305">
        <w:t>3</w:t>
      </w:r>
      <w:r>
        <w:t xml:space="preserve">.1 </w:t>
      </w:r>
      <w:r w:rsidR="00251606">
        <w:t xml:space="preserve">exhibits the scatter plot matrix. </w:t>
      </w:r>
      <w:r w:rsidR="0008622C">
        <w:t>In this matrix we intend to have som</w:t>
      </w:r>
      <w:r w:rsidR="000E0F4B">
        <w:t>e idea about the relationship between</w:t>
      </w:r>
      <w:r w:rsidR="0008622C">
        <w:t xml:space="preserve"> economic growth and other variables. This matrix shows the positive relationship between</w:t>
      </w:r>
      <w:r w:rsidR="00767403">
        <w:t xml:space="preserve"> the</w:t>
      </w:r>
      <w:r w:rsidR="0008622C">
        <w:t xml:space="preserve"> GDP growth</w:t>
      </w:r>
      <w:r w:rsidR="00767403">
        <w:t xml:space="preserve"> rate</w:t>
      </w:r>
      <w:r w:rsidR="0008622C">
        <w:t xml:space="preserve"> </w:t>
      </w:r>
      <w:r w:rsidR="00C67D6A">
        <w:t xml:space="preserve">and growth </w:t>
      </w:r>
      <w:r w:rsidR="00767403">
        <w:t xml:space="preserve">rate </w:t>
      </w:r>
      <w:r w:rsidR="00C67D6A">
        <w:t xml:space="preserve">of gross capital formation and between </w:t>
      </w:r>
      <w:r w:rsidR="00767403">
        <w:t xml:space="preserve">the </w:t>
      </w:r>
      <w:r w:rsidR="00C67D6A">
        <w:t>GDP growth</w:t>
      </w:r>
      <w:r w:rsidR="00767403">
        <w:t xml:space="preserve"> rate</w:t>
      </w:r>
      <w:r w:rsidR="00C67D6A">
        <w:t xml:space="preserve"> and growth</w:t>
      </w:r>
      <w:r w:rsidR="00767403">
        <w:t xml:space="preserve"> rate</w:t>
      </w:r>
      <w:r w:rsidR="00C67D6A">
        <w:t xml:space="preserve"> of exports of goods and services.</w:t>
      </w:r>
      <w:r w:rsidR="0008622C">
        <w:t xml:space="preserve"> There is no specific relationship between GDP growth and inflation</w:t>
      </w:r>
      <w:r w:rsidR="00767403">
        <w:t xml:space="preserve"> and between GDP growth and domestic credit to private sector as percentage of GDP</w:t>
      </w:r>
      <w:r w:rsidR="0008622C">
        <w:t xml:space="preserve">. </w:t>
      </w:r>
      <w:r w:rsidR="0063488D">
        <w:t>The relationship between GDP growth and official exchange rate seems to be negative</w:t>
      </w:r>
      <w:r w:rsidR="0008622C">
        <w:t>.</w:t>
      </w:r>
      <w:r w:rsidR="009304CB">
        <w:t xml:space="preserve"> These results have been confirmed by </w:t>
      </w:r>
      <w:r w:rsidR="00730498">
        <w:t>the table of correlations</w:t>
      </w:r>
      <w:r w:rsidR="009304CB">
        <w:t>.</w:t>
      </w:r>
    </w:p>
    <w:p w:rsidR="00250131" w:rsidRDefault="00250131" w:rsidP="00E27305">
      <w:pPr>
        <w:autoSpaceDE w:val="0"/>
        <w:autoSpaceDN w:val="0"/>
        <w:adjustRightInd w:val="0"/>
        <w:spacing w:line="360" w:lineRule="auto"/>
        <w:jc w:val="center"/>
        <w:rPr>
          <w:b/>
          <w:bCs/>
          <w:sz w:val="28"/>
          <w:szCs w:val="28"/>
        </w:rPr>
      </w:pPr>
    </w:p>
    <w:p w:rsidR="00250131" w:rsidRDefault="00250131" w:rsidP="00E27305">
      <w:pPr>
        <w:autoSpaceDE w:val="0"/>
        <w:autoSpaceDN w:val="0"/>
        <w:adjustRightInd w:val="0"/>
        <w:spacing w:line="360" w:lineRule="auto"/>
        <w:jc w:val="center"/>
        <w:rPr>
          <w:b/>
          <w:bCs/>
          <w:sz w:val="28"/>
          <w:szCs w:val="28"/>
        </w:rPr>
      </w:pPr>
    </w:p>
    <w:p w:rsidR="00250131" w:rsidRDefault="00250131" w:rsidP="00E27305">
      <w:pPr>
        <w:autoSpaceDE w:val="0"/>
        <w:autoSpaceDN w:val="0"/>
        <w:adjustRightInd w:val="0"/>
        <w:spacing w:line="360" w:lineRule="auto"/>
        <w:jc w:val="center"/>
        <w:rPr>
          <w:b/>
          <w:bCs/>
          <w:sz w:val="28"/>
          <w:szCs w:val="28"/>
        </w:rPr>
      </w:pPr>
    </w:p>
    <w:p w:rsidR="000C46CC" w:rsidRDefault="00EE020E" w:rsidP="00E27305">
      <w:pPr>
        <w:autoSpaceDE w:val="0"/>
        <w:autoSpaceDN w:val="0"/>
        <w:adjustRightInd w:val="0"/>
        <w:spacing w:line="360" w:lineRule="auto"/>
        <w:jc w:val="center"/>
        <w:rPr>
          <w:b/>
          <w:bCs/>
          <w:sz w:val="28"/>
          <w:szCs w:val="28"/>
        </w:rPr>
      </w:pPr>
      <w:r w:rsidRPr="00EE020E">
        <w:rPr>
          <w:b/>
          <w:bCs/>
          <w:sz w:val="28"/>
          <w:szCs w:val="28"/>
        </w:rPr>
        <w:lastRenderedPageBreak/>
        <w:t xml:space="preserve">Figure </w:t>
      </w:r>
      <w:r w:rsidR="00E27305">
        <w:rPr>
          <w:b/>
          <w:bCs/>
          <w:sz w:val="28"/>
          <w:szCs w:val="28"/>
        </w:rPr>
        <w:t>3</w:t>
      </w:r>
      <w:r w:rsidRPr="00EE020E">
        <w:rPr>
          <w:b/>
          <w:bCs/>
          <w:sz w:val="28"/>
          <w:szCs w:val="28"/>
        </w:rPr>
        <w:t>.1</w:t>
      </w:r>
    </w:p>
    <w:p w:rsidR="003857E8" w:rsidRPr="00EE020E" w:rsidRDefault="003857E8" w:rsidP="002B0AFC">
      <w:pPr>
        <w:autoSpaceDE w:val="0"/>
        <w:autoSpaceDN w:val="0"/>
        <w:adjustRightInd w:val="0"/>
        <w:spacing w:line="360" w:lineRule="auto"/>
        <w:jc w:val="center"/>
        <w:rPr>
          <w:b/>
          <w:bCs/>
        </w:rPr>
      </w:pPr>
      <w:r>
        <w:rPr>
          <w:b/>
          <w:bCs/>
          <w:sz w:val="28"/>
          <w:szCs w:val="28"/>
        </w:rPr>
        <w:t>Scatter-Plot Matrix</w:t>
      </w:r>
    </w:p>
    <w:p w:rsidR="000C46CC" w:rsidRDefault="007B48A7" w:rsidP="002B0AFC">
      <w:pPr>
        <w:autoSpaceDE w:val="0"/>
        <w:autoSpaceDN w:val="0"/>
        <w:adjustRightInd w:val="0"/>
        <w:spacing w:line="360" w:lineRule="auto"/>
      </w:pPr>
      <w:r>
        <w:rPr>
          <w:rFonts w:ascii="Arabic Transparent" w:cs="Arabic Transparent"/>
          <w:noProof/>
          <w:sz w:val="14"/>
          <w:szCs w:val="14"/>
        </w:rPr>
        <w:drawing>
          <wp:inline distT="0" distB="0" distL="0" distR="0">
            <wp:extent cx="5646420" cy="40157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46420" cy="4015740"/>
                    </a:xfrm>
                    <a:prstGeom prst="rect">
                      <a:avLst/>
                    </a:prstGeom>
                    <a:noFill/>
                    <a:ln w="9525">
                      <a:noFill/>
                      <a:miter lim="800000"/>
                      <a:headEnd/>
                      <a:tailEnd/>
                    </a:ln>
                  </pic:spPr>
                </pic:pic>
              </a:graphicData>
            </a:graphic>
          </wp:inline>
        </w:drawing>
      </w:r>
    </w:p>
    <w:p w:rsidR="00E27305" w:rsidRPr="0060209B" w:rsidRDefault="00C53DEB" w:rsidP="00D3203D">
      <w:pPr>
        <w:autoSpaceDE w:val="0"/>
        <w:autoSpaceDN w:val="0"/>
        <w:adjustRightInd w:val="0"/>
        <w:spacing w:line="360" w:lineRule="auto"/>
        <w:ind w:firstLine="720"/>
        <w:jc w:val="both"/>
      </w:pPr>
      <w:r>
        <w:t>Table 3</w:t>
      </w:r>
      <w:r w:rsidR="00E27305">
        <w:t>.</w:t>
      </w:r>
      <w:r w:rsidR="00A328CB">
        <w:t>2</w:t>
      </w:r>
      <w:r w:rsidR="00E27305">
        <w:t xml:space="preserve"> represents the table of correlations. This table reflects two variables – growth rate of gross capital formation and growth rate of exports of goods and services</w:t>
      </w:r>
      <w:r w:rsidR="005E5A41">
        <w:t xml:space="preserve"> – </w:t>
      </w:r>
      <w:r w:rsidR="00E27305">
        <w:t>are positively correlated to growth rate of GDP</w:t>
      </w:r>
      <w:r w:rsidR="006E151E">
        <w:t xml:space="preserve"> (r= .325, p = .029, and r= .361, p= .015, respectively)</w:t>
      </w:r>
      <w:r w:rsidR="00E27305">
        <w:t>. Official exchange rate is negatively correlated to the GDP growth</w:t>
      </w:r>
      <w:r w:rsidR="00D3203D">
        <w:t xml:space="preserve"> (r= -.333, p = .026)</w:t>
      </w:r>
      <w:r w:rsidR="00E27305">
        <w:t xml:space="preserve">. The </w:t>
      </w:r>
      <w:r w:rsidR="00F749EC">
        <w:t xml:space="preserve">magnitudes of the above discussed correlations are greater than 0.3 in the absolute terms, which shows the moderate correlations between the said pairs of the variables. </w:t>
      </w:r>
      <w:r w:rsidR="0013681F">
        <w:t xml:space="preserve">All the above correlations are statistically significant at less than five percent level of significant. </w:t>
      </w:r>
      <w:r w:rsidR="00A73CFF">
        <w:t xml:space="preserve">Correlations between GDP growth and inflation </w:t>
      </w:r>
      <w:r w:rsidR="0013681F">
        <w:t>rate</w:t>
      </w:r>
      <w:r w:rsidR="00A73CFF">
        <w:t xml:space="preserve"> and between GDP growth and domestic credit to private sectors as the percentage of GDP are not statistically significant. In the case of these correlations the null hypothesis of no correlation can’t be rejected</w:t>
      </w:r>
      <w:r w:rsidR="00090FC1">
        <w:t xml:space="preserve"> as the </w:t>
      </w:r>
      <w:r w:rsidR="00090FC1" w:rsidRPr="00090FC1">
        <w:rPr>
          <w:i/>
          <w:iCs/>
        </w:rPr>
        <w:t>P-values</w:t>
      </w:r>
      <w:r w:rsidR="00090FC1">
        <w:t xml:space="preserve"> are much greater than 0.05</w:t>
      </w:r>
      <w:r w:rsidR="00A73CFF">
        <w:t>.</w:t>
      </w:r>
      <w:r w:rsidR="00E27305">
        <w:t xml:space="preserve"> </w:t>
      </w:r>
      <w:r w:rsidR="008E518C">
        <w:t xml:space="preserve">The </w:t>
      </w:r>
      <w:r w:rsidR="005E5A41">
        <w:t xml:space="preserve">table shows that </w:t>
      </w:r>
      <w:r w:rsidR="00980A70">
        <w:t xml:space="preserve">the correlation between </w:t>
      </w:r>
      <w:r w:rsidR="005E5A41">
        <w:t xml:space="preserve">only one pair of independent variables – growth of gross capital formation and domestic credit to private sector as percentage of GDP– is </w:t>
      </w:r>
      <w:r w:rsidR="00980A70">
        <w:t>statistically significant</w:t>
      </w:r>
      <w:r w:rsidR="006276EE">
        <w:t xml:space="preserve"> at less than one percent level of significance</w:t>
      </w:r>
      <w:r w:rsidR="00980A70">
        <w:t>.</w:t>
      </w:r>
      <w:r w:rsidR="006276EE">
        <w:t xml:space="preserve"> </w:t>
      </w:r>
      <w:r w:rsidR="009D611E">
        <w:t xml:space="preserve">The magnitude of this correlation also </w:t>
      </w:r>
      <w:r w:rsidR="0060209B">
        <w:t xml:space="preserve">shows the </w:t>
      </w:r>
      <w:r w:rsidR="009D611E">
        <w:t>moderate</w:t>
      </w:r>
      <w:r w:rsidR="0060209B">
        <w:t xml:space="preserve"> correlation</w:t>
      </w:r>
      <w:r w:rsidR="00D3203D">
        <w:t xml:space="preserve"> (r= -.559, p = .000)</w:t>
      </w:r>
      <w:r w:rsidR="009D611E">
        <w:t xml:space="preserve">. The table does not show the large value </w:t>
      </w:r>
      <w:r w:rsidR="009D611E">
        <w:lastRenderedPageBreak/>
        <w:t>of the correlation between any two predictor variables</w:t>
      </w:r>
      <w:r w:rsidR="009406E6">
        <w:t>. This situation shows that the problem of multi-collinearity might not be present in the multiple regression analysis.</w:t>
      </w:r>
      <w:r w:rsidR="009D611E">
        <w:t xml:space="preserve"> </w:t>
      </w:r>
    </w:p>
    <w:p w:rsidR="00E27305" w:rsidRDefault="00E27305" w:rsidP="00A328CB">
      <w:pPr>
        <w:autoSpaceDE w:val="0"/>
        <w:autoSpaceDN w:val="0"/>
        <w:adjustRightInd w:val="0"/>
        <w:jc w:val="center"/>
        <w:rPr>
          <w:b/>
          <w:bCs/>
          <w:sz w:val="28"/>
          <w:szCs w:val="28"/>
        </w:rPr>
      </w:pPr>
      <w:r w:rsidRPr="00E752E5">
        <w:rPr>
          <w:b/>
          <w:bCs/>
          <w:sz w:val="28"/>
          <w:szCs w:val="28"/>
        </w:rPr>
        <w:t xml:space="preserve">Table </w:t>
      </w:r>
      <w:r w:rsidR="0060209B">
        <w:rPr>
          <w:b/>
          <w:bCs/>
          <w:sz w:val="28"/>
          <w:szCs w:val="28"/>
        </w:rPr>
        <w:t>3</w:t>
      </w:r>
      <w:r w:rsidRPr="00E752E5">
        <w:rPr>
          <w:b/>
          <w:bCs/>
          <w:sz w:val="28"/>
          <w:szCs w:val="28"/>
        </w:rPr>
        <w:t>.</w:t>
      </w:r>
      <w:r w:rsidR="00A328CB">
        <w:rPr>
          <w:b/>
          <w:bCs/>
          <w:sz w:val="28"/>
          <w:szCs w:val="28"/>
        </w:rPr>
        <w:t>2</w:t>
      </w:r>
    </w:p>
    <w:p w:rsidR="00F02AC6" w:rsidRDefault="00CD52CC" w:rsidP="00DE1E05">
      <w:pPr>
        <w:autoSpaceDE w:val="0"/>
        <w:autoSpaceDN w:val="0"/>
        <w:adjustRightInd w:val="0"/>
        <w:jc w:val="center"/>
        <w:rPr>
          <w:b/>
          <w:bCs/>
          <w:color w:val="000000"/>
          <w:sz w:val="28"/>
          <w:szCs w:val="28"/>
        </w:rPr>
      </w:pPr>
      <w:r w:rsidRPr="00DE1E05">
        <w:rPr>
          <w:b/>
          <w:bCs/>
          <w:color w:val="000000"/>
          <w:sz w:val="28"/>
          <w:szCs w:val="28"/>
        </w:rPr>
        <w:t>Correlations</w:t>
      </w:r>
    </w:p>
    <w:tbl>
      <w:tblPr>
        <w:tblW w:w="10080" w:type="dxa"/>
        <w:tblInd w:w="15" w:type="dxa"/>
        <w:tblLayout w:type="fixed"/>
        <w:tblCellMar>
          <w:left w:w="93" w:type="dxa"/>
          <w:right w:w="93" w:type="dxa"/>
        </w:tblCellMar>
        <w:tblLook w:val="0000"/>
      </w:tblPr>
      <w:tblGrid>
        <w:gridCol w:w="2160"/>
        <w:gridCol w:w="1800"/>
        <w:gridCol w:w="1080"/>
        <w:gridCol w:w="900"/>
        <w:gridCol w:w="1080"/>
        <w:gridCol w:w="900"/>
        <w:gridCol w:w="1260"/>
        <w:gridCol w:w="900"/>
      </w:tblGrid>
      <w:tr w:rsidR="002B0AFC" w:rsidRPr="00C40723">
        <w:trPr>
          <w:trHeight w:val="1195"/>
        </w:trPr>
        <w:tc>
          <w:tcPr>
            <w:tcW w:w="2160" w:type="dxa"/>
            <w:tcBorders>
              <w:top w:val="single" w:sz="12" w:space="0" w:color="000000"/>
              <w:left w:val="single" w:sz="12" w:space="0" w:color="000000"/>
              <w:bottom w:val="single" w:sz="12" w:space="0" w:color="000000"/>
              <w:right w:val="nil"/>
            </w:tcBorders>
            <w:shd w:val="clear" w:color="000000" w:fill="FFFFFF"/>
            <w:tcMar>
              <w:left w:w="14" w:type="dxa"/>
              <w:right w:w="14" w:type="dxa"/>
            </w:tcMar>
            <w:vAlign w:val="center"/>
          </w:tcPr>
          <w:p w:rsidR="002B0AFC" w:rsidRPr="00C40723" w:rsidRDefault="002B0AFC" w:rsidP="002B0AFC">
            <w:pPr>
              <w:autoSpaceDE w:val="0"/>
              <w:autoSpaceDN w:val="0"/>
              <w:adjustRightInd w:val="0"/>
              <w:jc w:val="center"/>
              <w:rPr>
                <w:color w:val="000000"/>
                <w:sz w:val="20"/>
                <w:szCs w:val="20"/>
              </w:rPr>
            </w:pPr>
          </w:p>
        </w:tc>
        <w:tc>
          <w:tcPr>
            <w:tcW w:w="1800" w:type="dxa"/>
            <w:tcBorders>
              <w:top w:val="single" w:sz="12" w:space="0" w:color="000000"/>
              <w:left w:val="nil"/>
              <w:bottom w:val="single" w:sz="12" w:space="0" w:color="000000"/>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GDP growth (annual %)</w:t>
            </w:r>
          </w:p>
        </w:tc>
        <w:tc>
          <w:tcPr>
            <w:tcW w:w="900" w:type="dxa"/>
            <w:tcBorders>
              <w:top w:val="single" w:sz="12" w:space="0" w:color="000000"/>
              <w:left w:val="single" w:sz="2" w:space="0" w:color="000000"/>
              <w:bottom w:val="single" w:sz="12" w:space="0" w:color="000000"/>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Gross capital formation (annual % growth)</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Exports of goods and services (annual % growth)</w:t>
            </w:r>
          </w:p>
        </w:tc>
        <w:tc>
          <w:tcPr>
            <w:tcW w:w="900" w:type="dxa"/>
            <w:tcBorders>
              <w:top w:val="single" w:sz="12" w:space="0" w:color="000000"/>
              <w:left w:val="single" w:sz="2" w:space="0" w:color="000000"/>
              <w:bottom w:val="single" w:sz="12" w:space="0" w:color="000000"/>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Inflation, consumer prices (annual %)</w:t>
            </w:r>
          </w:p>
        </w:tc>
        <w:tc>
          <w:tcPr>
            <w:tcW w:w="1260" w:type="dxa"/>
            <w:tcBorders>
              <w:top w:val="single" w:sz="12" w:space="0" w:color="000000"/>
              <w:left w:val="single" w:sz="2" w:space="0" w:color="000000"/>
              <w:bottom w:val="single" w:sz="12" w:space="0" w:color="000000"/>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Official exchange rate (LCU per US$, period average)</w:t>
            </w:r>
          </w:p>
        </w:tc>
        <w:tc>
          <w:tcPr>
            <w:tcW w:w="900" w:type="dxa"/>
            <w:tcBorders>
              <w:top w:val="single" w:sz="12" w:space="0" w:color="000000"/>
              <w:left w:val="single" w:sz="2" w:space="0" w:color="000000"/>
              <w:bottom w:val="single" w:sz="12" w:space="0" w:color="000000"/>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Domestic credit to private sector (% of GDP)</w:t>
            </w:r>
          </w:p>
        </w:tc>
      </w:tr>
      <w:tr w:rsidR="002B0AFC" w:rsidRPr="00C40723">
        <w:trPr>
          <w:trHeight w:val="273"/>
        </w:trPr>
        <w:tc>
          <w:tcPr>
            <w:tcW w:w="2160" w:type="dxa"/>
            <w:vMerge w:val="restart"/>
            <w:tcBorders>
              <w:top w:val="single" w:sz="12" w:space="0" w:color="000000"/>
              <w:left w:val="single" w:sz="12" w:space="0" w:color="000000"/>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GDP growth (annual %)</w:t>
            </w:r>
          </w:p>
        </w:tc>
        <w:tc>
          <w:tcPr>
            <w:tcW w:w="1800" w:type="dxa"/>
            <w:tcBorders>
              <w:top w:val="single" w:sz="12" w:space="0" w:color="000000"/>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Pearson Correlation</w:t>
            </w:r>
          </w:p>
        </w:tc>
        <w:tc>
          <w:tcPr>
            <w:tcW w:w="1080" w:type="dxa"/>
            <w:tcBorders>
              <w:top w:val="single" w:sz="12" w:space="0" w:color="000000"/>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1</w:t>
            </w:r>
          </w:p>
        </w:tc>
        <w:tc>
          <w:tcPr>
            <w:tcW w:w="900" w:type="dxa"/>
            <w:tcBorders>
              <w:top w:val="single" w:sz="12" w:space="0" w:color="000000"/>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.325(*)</w:t>
            </w:r>
          </w:p>
        </w:tc>
        <w:tc>
          <w:tcPr>
            <w:tcW w:w="1080" w:type="dxa"/>
            <w:tcBorders>
              <w:top w:val="single" w:sz="12" w:space="0" w:color="000000"/>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.361(*)</w:t>
            </w:r>
          </w:p>
        </w:tc>
        <w:tc>
          <w:tcPr>
            <w:tcW w:w="900" w:type="dxa"/>
            <w:tcBorders>
              <w:top w:val="single" w:sz="12" w:space="0" w:color="000000"/>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-.065</w:t>
            </w:r>
          </w:p>
        </w:tc>
        <w:tc>
          <w:tcPr>
            <w:tcW w:w="1260" w:type="dxa"/>
            <w:tcBorders>
              <w:top w:val="single" w:sz="12" w:space="0" w:color="000000"/>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-.333(*)</w:t>
            </w:r>
          </w:p>
        </w:tc>
        <w:tc>
          <w:tcPr>
            <w:tcW w:w="900" w:type="dxa"/>
            <w:tcBorders>
              <w:top w:val="single" w:sz="12" w:space="0" w:color="000000"/>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.005</w:t>
            </w:r>
          </w:p>
        </w:tc>
      </w:tr>
      <w:tr w:rsidR="002B0AFC" w:rsidRPr="00C40723">
        <w:trPr>
          <w:trHeight w:val="273"/>
        </w:trPr>
        <w:tc>
          <w:tcPr>
            <w:tcW w:w="2160" w:type="dxa"/>
            <w:vMerge/>
            <w:tcBorders>
              <w:left w:val="single" w:sz="12" w:space="0" w:color="000000"/>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1800" w:type="dxa"/>
            <w:tcBorders>
              <w:top w:val="nil"/>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Sig. (2-tailed)</w:t>
            </w:r>
          </w:p>
        </w:tc>
        <w:tc>
          <w:tcPr>
            <w:tcW w:w="1080"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.029</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.015</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.672</w:t>
            </w:r>
          </w:p>
        </w:tc>
        <w:tc>
          <w:tcPr>
            <w:tcW w:w="126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.026</w:t>
            </w:r>
          </w:p>
        </w:tc>
        <w:tc>
          <w:tcPr>
            <w:tcW w:w="900"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.974</w:t>
            </w:r>
          </w:p>
        </w:tc>
      </w:tr>
      <w:tr w:rsidR="002B0AFC" w:rsidRPr="00C40723">
        <w:trPr>
          <w:trHeight w:val="273"/>
        </w:trPr>
        <w:tc>
          <w:tcPr>
            <w:tcW w:w="2160" w:type="dxa"/>
            <w:vMerge/>
            <w:tcBorders>
              <w:left w:val="single" w:sz="12" w:space="0" w:color="000000"/>
              <w:bottom w:val="nil"/>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1800" w:type="dxa"/>
            <w:tcBorders>
              <w:top w:val="nil"/>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N</w:t>
            </w:r>
          </w:p>
        </w:tc>
        <w:tc>
          <w:tcPr>
            <w:tcW w:w="1080"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126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r>
      <w:tr w:rsidR="002B0AFC" w:rsidRPr="00C40723">
        <w:trPr>
          <w:trHeight w:val="273"/>
        </w:trPr>
        <w:tc>
          <w:tcPr>
            <w:tcW w:w="2160" w:type="dxa"/>
            <w:vMerge w:val="restart"/>
            <w:tcBorders>
              <w:top w:val="nil"/>
              <w:left w:val="single" w:sz="12" w:space="0" w:color="000000"/>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Gross capital formation (annual % growth)</w:t>
            </w:r>
          </w:p>
        </w:tc>
        <w:tc>
          <w:tcPr>
            <w:tcW w:w="1800" w:type="dxa"/>
            <w:tcBorders>
              <w:top w:val="nil"/>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Pearson Correlation</w:t>
            </w:r>
          </w:p>
        </w:tc>
        <w:tc>
          <w:tcPr>
            <w:tcW w:w="1080"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.325(*)</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1</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.074</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-.194</w:t>
            </w:r>
          </w:p>
        </w:tc>
        <w:tc>
          <w:tcPr>
            <w:tcW w:w="126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-.241</w:t>
            </w:r>
          </w:p>
        </w:tc>
        <w:tc>
          <w:tcPr>
            <w:tcW w:w="900"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-.559(**)</w:t>
            </w:r>
          </w:p>
        </w:tc>
      </w:tr>
      <w:tr w:rsidR="002B0AFC" w:rsidRPr="00C40723">
        <w:trPr>
          <w:trHeight w:val="273"/>
        </w:trPr>
        <w:tc>
          <w:tcPr>
            <w:tcW w:w="2160" w:type="dxa"/>
            <w:vMerge/>
            <w:tcBorders>
              <w:left w:val="single" w:sz="12" w:space="0" w:color="000000"/>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1800" w:type="dxa"/>
            <w:tcBorders>
              <w:top w:val="nil"/>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Sig. (2-tailed)</w:t>
            </w:r>
          </w:p>
        </w:tc>
        <w:tc>
          <w:tcPr>
            <w:tcW w:w="1080"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.029</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.631</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.201</w:t>
            </w:r>
          </w:p>
        </w:tc>
        <w:tc>
          <w:tcPr>
            <w:tcW w:w="126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.111</w:t>
            </w:r>
          </w:p>
        </w:tc>
        <w:tc>
          <w:tcPr>
            <w:tcW w:w="900"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.000</w:t>
            </w:r>
          </w:p>
        </w:tc>
      </w:tr>
      <w:tr w:rsidR="002B0AFC" w:rsidRPr="00C40723">
        <w:trPr>
          <w:trHeight w:val="273"/>
        </w:trPr>
        <w:tc>
          <w:tcPr>
            <w:tcW w:w="2160" w:type="dxa"/>
            <w:vMerge/>
            <w:tcBorders>
              <w:left w:val="single" w:sz="12" w:space="0" w:color="000000"/>
              <w:bottom w:val="nil"/>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1800" w:type="dxa"/>
            <w:tcBorders>
              <w:top w:val="nil"/>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N</w:t>
            </w:r>
          </w:p>
        </w:tc>
        <w:tc>
          <w:tcPr>
            <w:tcW w:w="1080"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126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r>
      <w:tr w:rsidR="002B0AFC" w:rsidRPr="00C40723">
        <w:trPr>
          <w:trHeight w:val="273"/>
        </w:trPr>
        <w:tc>
          <w:tcPr>
            <w:tcW w:w="2160" w:type="dxa"/>
            <w:vMerge w:val="restart"/>
            <w:tcBorders>
              <w:top w:val="nil"/>
              <w:left w:val="single" w:sz="12" w:space="0" w:color="000000"/>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Exports of goods and services (annual % growth)</w:t>
            </w:r>
          </w:p>
        </w:tc>
        <w:tc>
          <w:tcPr>
            <w:tcW w:w="1800" w:type="dxa"/>
            <w:tcBorders>
              <w:top w:val="nil"/>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Pearson Correlation</w:t>
            </w:r>
          </w:p>
        </w:tc>
        <w:tc>
          <w:tcPr>
            <w:tcW w:w="1080"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.361(*)</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.074</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1</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-.223</w:t>
            </w:r>
          </w:p>
        </w:tc>
        <w:tc>
          <w:tcPr>
            <w:tcW w:w="126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.017</w:t>
            </w:r>
          </w:p>
        </w:tc>
        <w:tc>
          <w:tcPr>
            <w:tcW w:w="900"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-.084</w:t>
            </w:r>
          </w:p>
        </w:tc>
      </w:tr>
      <w:tr w:rsidR="002B0AFC" w:rsidRPr="00C40723">
        <w:trPr>
          <w:trHeight w:val="273"/>
        </w:trPr>
        <w:tc>
          <w:tcPr>
            <w:tcW w:w="2160" w:type="dxa"/>
            <w:vMerge/>
            <w:tcBorders>
              <w:left w:val="single" w:sz="12" w:space="0" w:color="000000"/>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1800" w:type="dxa"/>
            <w:tcBorders>
              <w:top w:val="nil"/>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Sig. (2-tailed)</w:t>
            </w:r>
          </w:p>
        </w:tc>
        <w:tc>
          <w:tcPr>
            <w:tcW w:w="1080"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.015</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.631</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.140</w:t>
            </w:r>
          </w:p>
        </w:tc>
        <w:tc>
          <w:tcPr>
            <w:tcW w:w="126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.910</w:t>
            </w:r>
          </w:p>
        </w:tc>
        <w:tc>
          <w:tcPr>
            <w:tcW w:w="900"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.582</w:t>
            </w:r>
          </w:p>
        </w:tc>
      </w:tr>
      <w:tr w:rsidR="002B0AFC" w:rsidRPr="00C40723">
        <w:trPr>
          <w:trHeight w:val="297"/>
        </w:trPr>
        <w:tc>
          <w:tcPr>
            <w:tcW w:w="2160" w:type="dxa"/>
            <w:vMerge/>
            <w:tcBorders>
              <w:left w:val="single" w:sz="12" w:space="0" w:color="000000"/>
              <w:bottom w:val="nil"/>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1800" w:type="dxa"/>
            <w:tcBorders>
              <w:top w:val="nil"/>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N</w:t>
            </w:r>
          </w:p>
        </w:tc>
        <w:tc>
          <w:tcPr>
            <w:tcW w:w="1080"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126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r>
      <w:tr w:rsidR="002B0AFC" w:rsidRPr="00C40723">
        <w:trPr>
          <w:trHeight w:val="273"/>
        </w:trPr>
        <w:tc>
          <w:tcPr>
            <w:tcW w:w="2160" w:type="dxa"/>
            <w:vMerge w:val="restart"/>
            <w:tcBorders>
              <w:top w:val="nil"/>
              <w:left w:val="single" w:sz="12" w:space="0" w:color="000000"/>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Inflation, consumer prices (annual %)</w:t>
            </w:r>
          </w:p>
        </w:tc>
        <w:tc>
          <w:tcPr>
            <w:tcW w:w="1800" w:type="dxa"/>
            <w:tcBorders>
              <w:top w:val="nil"/>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Pearson Correlation</w:t>
            </w:r>
          </w:p>
        </w:tc>
        <w:tc>
          <w:tcPr>
            <w:tcW w:w="1080"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-.065</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-.194</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-.223</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1</w:t>
            </w:r>
          </w:p>
        </w:tc>
        <w:tc>
          <w:tcPr>
            <w:tcW w:w="126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-.065</w:t>
            </w:r>
          </w:p>
        </w:tc>
        <w:tc>
          <w:tcPr>
            <w:tcW w:w="900"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.038</w:t>
            </w:r>
          </w:p>
        </w:tc>
      </w:tr>
      <w:tr w:rsidR="002B0AFC" w:rsidRPr="00C40723">
        <w:trPr>
          <w:trHeight w:val="273"/>
        </w:trPr>
        <w:tc>
          <w:tcPr>
            <w:tcW w:w="2160" w:type="dxa"/>
            <w:vMerge/>
            <w:tcBorders>
              <w:left w:val="single" w:sz="12" w:space="0" w:color="000000"/>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1800" w:type="dxa"/>
            <w:tcBorders>
              <w:top w:val="nil"/>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Sig. (2-tailed)</w:t>
            </w:r>
          </w:p>
        </w:tc>
        <w:tc>
          <w:tcPr>
            <w:tcW w:w="1080"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.672</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.201</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.140</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126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.673</w:t>
            </w:r>
          </w:p>
        </w:tc>
        <w:tc>
          <w:tcPr>
            <w:tcW w:w="900"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.806</w:t>
            </w:r>
          </w:p>
        </w:tc>
      </w:tr>
      <w:tr w:rsidR="002B0AFC" w:rsidRPr="00C40723">
        <w:trPr>
          <w:trHeight w:val="273"/>
        </w:trPr>
        <w:tc>
          <w:tcPr>
            <w:tcW w:w="2160" w:type="dxa"/>
            <w:vMerge/>
            <w:tcBorders>
              <w:left w:val="single" w:sz="12" w:space="0" w:color="000000"/>
              <w:bottom w:val="nil"/>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1800" w:type="dxa"/>
            <w:tcBorders>
              <w:top w:val="nil"/>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N</w:t>
            </w:r>
          </w:p>
        </w:tc>
        <w:tc>
          <w:tcPr>
            <w:tcW w:w="1080"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126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r>
      <w:tr w:rsidR="002B0AFC" w:rsidRPr="00C40723">
        <w:trPr>
          <w:trHeight w:val="273"/>
        </w:trPr>
        <w:tc>
          <w:tcPr>
            <w:tcW w:w="2160" w:type="dxa"/>
            <w:vMerge w:val="restart"/>
            <w:tcBorders>
              <w:top w:val="nil"/>
              <w:left w:val="single" w:sz="12" w:space="0" w:color="000000"/>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Official exchange rate (LCU per US$, period average)</w:t>
            </w:r>
          </w:p>
        </w:tc>
        <w:tc>
          <w:tcPr>
            <w:tcW w:w="1800" w:type="dxa"/>
            <w:tcBorders>
              <w:top w:val="nil"/>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Pearson Correlation</w:t>
            </w:r>
          </w:p>
        </w:tc>
        <w:tc>
          <w:tcPr>
            <w:tcW w:w="1080"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-.333(*)</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-.241</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.017</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-.065</w:t>
            </w:r>
          </w:p>
        </w:tc>
        <w:tc>
          <w:tcPr>
            <w:tcW w:w="126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1</w:t>
            </w:r>
          </w:p>
        </w:tc>
        <w:tc>
          <w:tcPr>
            <w:tcW w:w="900"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.200</w:t>
            </w:r>
          </w:p>
        </w:tc>
      </w:tr>
      <w:tr w:rsidR="002B0AFC" w:rsidRPr="00C40723">
        <w:trPr>
          <w:trHeight w:val="273"/>
        </w:trPr>
        <w:tc>
          <w:tcPr>
            <w:tcW w:w="2160" w:type="dxa"/>
            <w:vMerge/>
            <w:tcBorders>
              <w:left w:val="single" w:sz="12" w:space="0" w:color="000000"/>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1800" w:type="dxa"/>
            <w:tcBorders>
              <w:top w:val="nil"/>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Sig. (2-tailed)</w:t>
            </w:r>
          </w:p>
        </w:tc>
        <w:tc>
          <w:tcPr>
            <w:tcW w:w="1080"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.026</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.111</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.910</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.673</w:t>
            </w:r>
          </w:p>
        </w:tc>
        <w:tc>
          <w:tcPr>
            <w:tcW w:w="126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900"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.187</w:t>
            </w:r>
          </w:p>
        </w:tc>
      </w:tr>
      <w:tr w:rsidR="002B0AFC" w:rsidRPr="00C40723">
        <w:trPr>
          <w:trHeight w:val="273"/>
        </w:trPr>
        <w:tc>
          <w:tcPr>
            <w:tcW w:w="2160" w:type="dxa"/>
            <w:vMerge/>
            <w:tcBorders>
              <w:left w:val="single" w:sz="12" w:space="0" w:color="000000"/>
              <w:bottom w:val="nil"/>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1800" w:type="dxa"/>
            <w:tcBorders>
              <w:top w:val="nil"/>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N</w:t>
            </w:r>
          </w:p>
        </w:tc>
        <w:tc>
          <w:tcPr>
            <w:tcW w:w="1080"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126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r>
      <w:tr w:rsidR="002B0AFC" w:rsidRPr="00C40723">
        <w:trPr>
          <w:trHeight w:val="273"/>
        </w:trPr>
        <w:tc>
          <w:tcPr>
            <w:tcW w:w="2160" w:type="dxa"/>
            <w:vMerge w:val="restart"/>
            <w:tcBorders>
              <w:top w:val="nil"/>
              <w:left w:val="single" w:sz="12" w:space="0" w:color="000000"/>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Domestic credit to private sector (% of GDP)</w:t>
            </w:r>
          </w:p>
        </w:tc>
        <w:tc>
          <w:tcPr>
            <w:tcW w:w="1800" w:type="dxa"/>
            <w:tcBorders>
              <w:top w:val="nil"/>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Pearson Correlation</w:t>
            </w:r>
          </w:p>
        </w:tc>
        <w:tc>
          <w:tcPr>
            <w:tcW w:w="1080"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.005</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-.559(**)</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-.084</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.038</w:t>
            </w:r>
          </w:p>
        </w:tc>
        <w:tc>
          <w:tcPr>
            <w:tcW w:w="126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.200</w:t>
            </w:r>
          </w:p>
        </w:tc>
        <w:tc>
          <w:tcPr>
            <w:tcW w:w="900"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1</w:t>
            </w:r>
          </w:p>
        </w:tc>
      </w:tr>
      <w:tr w:rsidR="002B0AFC" w:rsidRPr="00C40723">
        <w:trPr>
          <w:trHeight w:val="273"/>
        </w:trPr>
        <w:tc>
          <w:tcPr>
            <w:tcW w:w="2160" w:type="dxa"/>
            <w:vMerge/>
            <w:tcBorders>
              <w:left w:val="single" w:sz="12" w:space="0" w:color="000000"/>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1800" w:type="dxa"/>
            <w:tcBorders>
              <w:top w:val="nil"/>
              <w:left w:val="nil"/>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Sig. (2-tailed)</w:t>
            </w:r>
          </w:p>
        </w:tc>
        <w:tc>
          <w:tcPr>
            <w:tcW w:w="1080" w:type="dxa"/>
            <w:tcBorders>
              <w:top w:val="nil"/>
              <w:left w:val="single" w:sz="1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.974</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.000</w:t>
            </w:r>
          </w:p>
        </w:tc>
        <w:tc>
          <w:tcPr>
            <w:tcW w:w="108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.582</w:t>
            </w:r>
          </w:p>
        </w:tc>
        <w:tc>
          <w:tcPr>
            <w:tcW w:w="90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.806</w:t>
            </w:r>
          </w:p>
        </w:tc>
        <w:tc>
          <w:tcPr>
            <w:tcW w:w="1260" w:type="dxa"/>
            <w:tcBorders>
              <w:top w:val="nil"/>
              <w:left w:val="single" w:sz="2" w:space="0" w:color="000000"/>
              <w:bottom w:val="nil"/>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.187</w:t>
            </w:r>
          </w:p>
        </w:tc>
        <w:tc>
          <w:tcPr>
            <w:tcW w:w="900" w:type="dxa"/>
            <w:tcBorders>
              <w:top w:val="nil"/>
              <w:left w:val="single" w:sz="2" w:space="0" w:color="000000"/>
              <w:bottom w:val="nil"/>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r>
      <w:tr w:rsidR="002B0AFC" w:rsidRPr="00C40723">
        <w:trPr>
          <w:trHeight w:val="273"/>
        </w:trPr>
        <w:tc>
          <w:tcPr>
            <w:tcW w:w="2160" w:type="dxa"/>
            <w:vMerge/>
            <w:tcBorders>
              <w:left w:val="single" w:sz="12" w:space="0" w:color="000000"/>
              <w:bottom w:val="single" w:sz="12" w:space="0" w:color="000000"/>
              <w:right w:val="nil"/>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p>
        </w:tc>
        <w:tc>
          <w:tcPr>
            <w:tcW w:w="1800" w:type="dxa"/>
            <w:tcBorders>
              <w:top w:val="nil"/>
              <w:left w:val="nil"/>
              <w:bottom w:val="single" w:sz="12" w:space="0" w:color="000000"/>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N</w:t>
            </w:r>
          </w:p>
        </w:tc>
        <w:tc>
          <w:tcPr>
            <w:tcW w:w="1080" w:type="dxa"/>
            <w:tcBorders>
              <w:top w:val="nil"/>
              <w:left w:val="single" w:sz="12" w:space="0" w:color="000000"/>
              <w:bottom w:val="single" w:sz="12" w:space="0" w:color="000000"/>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single" w:sz="12" w:space="0" w:color="000000"/>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1080" w:type="dxa"/>
            <w:tcBorders>
              <w:top w:val="nil"/>
              <w:left w:val="single" w:sz="2" w:space="0" w:color="000000"/>
              <w:bottom w:val="single" w:sz="12" w:space="0" w:color="000000"/>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single" w:sz="12" w:space="0" w:color="000000"/>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1260" w:type="dxa"/>
            <w:tcBorders>
              <w:top w:val="nil"/>
              <w:left w:val="single" w:sz="2" w:space="0" w:color="000000"/>
              <w:bottom w:val="single" w:sz="12" w:space="0" w:color="000000"/>
              <w:right w:val="single" w:sz="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c>
          <w:tcPr>
            <w:tcW w:w="900" w:type="dxa"/>
            <w:tcBorders>
              <w:top w:val="nil"/>
              <w:left w:val="single" w:sz="2" w:space="0" w:color="000000"/>
              <w:bottom w:val="single" w:sz="12" w:space="0" w:color="000000"/>
              <w:right w:val="single" w:sz="12" w:space="0" w:color="000000"/>
            </w:tcBorders>
            <w:shd w:val="clear" w:color="000000" w:fill="FFFFFF"/>
            <w:tcMar>
              <w:left w:w="14" w:type="dxa"/>
              <w:right w:w="14" w:type="dxa"/>
            </w:tcMar>
            <w:vAlign w:val="center"/>
          </w:tcPr>
          <w:p w:rsidR="002B0AFC" w:rsidRPr="00C40723" w:rsidRDefault="002B0AFC" w:rsidP="00E20E5B">
            <w:pPr>
              <w:autoSpaceDE w:val="0"/>
              <w:autoSpaceDN w:val="0"/>
              <w:adjustRightInd w:val="0"/>
              <w:jc w:val="center"/>
              <w:rPr>
                <w:color w:val="000000"/>
                <w:sz w:val="20"/>
                <w:szCs w:val="20"/>
              </w:rPr>
            </w:pPr>
            <w:r w:rsidRPr="00C40723">
              <w:rPr>
                <w:color w:val="000000"/>
                <w:sz w:val="20"/>
                <w:szCs w:val="20"/>
              </w:rPr>
              <w:t>45</w:t>
            </w:r>
          </w:p>
        </w:tc>
      </w:tr>
    </w:tbl>
    <w:p w:rsidR="00DE1E05" w:rsidRDefault="00DE1E05" w:rsidP="00CC7F4F">
      <w:pPr>
        <w:autoSpaceDE w:val="0"/>
        <w:autoSpaceDN w:val="0"/>
        <w:adjustRightInd w:val="0"/>
        <w:jc w:val="center"/>
        <w:rPr>
          <w:rFonts w:ascii="Arial" w:hAnsi="Arial" w:cs="Arial"/>
          <w:color w:val="000000"/>
          <w:sz w:val="18"/>
          <w:szCs w:val="18"/>
        </w:rPr>
      </w:pPr>
    </w:p>
    <w:p w:rsidR="00E27305" w:rsidRPr="00E27305" w:rsidRDefault="00E27305" w:rsidP="00524093">
      <w:pPr>
        <w:autoSpaceDE w:val="0"/>
        <w:autoSpaceDN w:val="0"/>
        <w:adjustRightInd w:val="0"/>
        <w:spacing w:line="360" w:lineRule="auto"/>
        <w:jc w:val="both"/>
      </w:pPr>
      <w:r>
        <w:t xml:space="preserve">Table </w:t>
      </w:r>
      <w:r w:rsidR="0060209B">
        <w:t>3</w:t>
      </w:r>
      <w:r>
        <w:t>.</w:t>
      </w:r>
      <w:r w:rsidR="00A328CB">
        <w:t>3</w:t>
      </w:r>
      <w:r>
        <w:t xml:space="preserve"> presents the results of the regression analysis. The results show that all of the independent variables except inflation significantly affect the economic growth</w:t>
      </w:r>
      <w:r w:rsidR="008E742B">
        <w:t xml:space="preserve"> as shown by the values of the t-statistic and the </w:t>
      </w:r>
      <w:r w:rsidR="00C303B6">
        <w:t xml:space="preserve">corresponding </w:t>
      </w:r>
      <w:r w:rsidR="00C303B6" w:rsidRPr="00C303B6">
        <w:rPr>
          <w:i/>
          <w:iCs/>
        </w:rPr>
        <w:t>P-values</w:t>
      </w:r>
      <w:r>
        <w:t xml:space="preserve">. </w:t>
      </w:r>
      <w:r w:rsidR="00A42FDB">
        <w:t xml:space="preserve">t-test is used to test the significance of the individual partial regression coefficients. Null hypothesis in this test is set as the </w:t>
      </w:r>
      <w:r w:rsidR="00524093">
        <w:t>partial regression coefficient is zero</w:t>
      </w:r>
      <w:r w:rsidR="00A42FDB">
        <w:t xml:space="preserve">. </w:t>
      </w:r>
      <w:r w:rsidR="008944D3">
        <w:t xml:space="preserve">This test shows that the coefficients of all the predictors except inflation are statistically significant at less than five percent level of significance. </w:t>
      </w:r>
      <w:r>
        <w:t>All of the significant coefficients have the positive sign</w:t>
      </w:r>
      <w:r w:rsidR="00BD309F">
        <w:t>s</w:t>
      </w:r>
      <w:r>
        <w:t xml:space="preserve"> except exchange rate. The effect of the exchange rate on the economic growth is negative and</w:t>
      </w:r>
      <w:r w:rsidR="001574F6">
        <w:t xml:space="preserve"> it is</w:t>
      </w:r>
      <w:r>
        <w:t xml:space="preserve"> statistically significant. The magnitude of the partial regression coefficient of the growth rate of gross capital formation is 0.088, which suggests that holding other factors constant an increase of one </w:t>
      </w:r>
      <w:r w:rsidR="00C658FB">
        <w:t>unit</w:t>
      </w:r>
      <w:r>
        <w:t xml:space="preserve"> in this variable would raise the economic growth by 0.088 </w:t>
      </w:r>
      <w:r w:rsidR="00C658FB">
        <w:t>units</w:t>
      </w:r>
      <w:r>
        <w:t xml:space="preserve">. </w:t>
      </w:r>
      <w:r w:rsidR="00AC371B">
        <w:t>Other things equal, t</w:t>
      </w:r>
      <w:r w:rsidR="00442836">
        <w:t>he value of the partial coefficient of the growth rate of exports of goods and services reflects the change of 0.074 units in GDP growth due to one unit change in the growth rate of exports.</w:t>
      </w:r>
      <w:r w:rsidR="00F57773">
        <w:t xml:space="preserve"> The </w:t>
      </w:r>
      <w:r w:rsidR="00F640B2">
        <w:t>partial regression coefficient</w:t>
      </w:r>
      <w:r w:rsidR="00F57773">
        <w:t xml:space="preserve"> of official exchange rate on GDP growth is negative which represents that</w:t>
      </w:r>
      <w:r w:rsidR="00AC371B">
        <w:t xml:space="preserve">, given no change in other </w:t>
      </w:r>
      <w:r w:rsidR="00AC371B">
        <w:lastRenderedPageBreak/>
        <w:t>factors,</w:t>
      </w:r>
      <w:r w:rsidR="00F57773">
        <w:t xml:space="preserve"> an increase of one unit in official exchange rate would </w:t>
      </w:r>
      <w:r w:rsidR="00F640B2">
        <w:t xml:space="preserve">reduce the GDP growth by 0.032 units. </w:t>
      </w:r>
      <w:r w:rsidR="00AC371B">
        <w:t>Given that other factors remain same, t</w:t>
      </w:r>
      <w:r w:rsidR="003D55A8">
        <w:t>he magnitude of the partial regression coefficient of the domestic credit to private sector suggests that</w:t>
      </w:r>
      <w:r w:rsidR="00AC371B">
        <w:t xml:space="preserve"> </w:t>
      </w:r>
      <w:r w:rsidR="003D55A8">
        <w:t>an increase of one unit in this variable would raise the GDP growth by 0.24 units.</w:t>
      </w:r>
      <w:r w:rsidR="00A16E05">
        <w:t xml:space="preserve"> Though it is hard to interpret the value of the constant term in our regression analysis, its value is negative which shows that in the absence of all the predictors used in this study the economic growth would be negative.</w:t>
      </w:r>
    </w:p>
    <w:p w:rsidR="00D63BE1" w:rsidRDefault="00E752E5" w:rsidP="00A328CB">
      <w:pPr>
        <w:autoSpaceDE w:val="0"/>
        <w:autoSpaceDN w:val="0"/>
        <w:adjustRightInd w:val="0"/>
        <w:jc w:val="center"/>
        <w:rPr>
          <w:b/>
          <w:bCs/>
          <w:sz w:val="28"/>
          <w:szCs w:val="28"/>
        </w:rPr>
      </w:pPr>
      <w:r w:rsidRPr="00E752E5">
        <w:rPr>
          <w:b/>
          <w:bCs/>
          <w:sz w:val="28"/>
          <w:szCs w:val="28"/>
        </w:rPr>
        <w:t xml:space="preserve">Table </w:t>
      </w:r>
      <w:r w:rsidR="0060209B">
        <w:rPr>
          <w:b/>
          <w:bCs/>
          <w:sz w:val="28"/>
          <w:szCs w:val="28"/>
        </w:rPr>
        <w:t>3</w:t>
      </w:r>
      <w:r w:rsidRPr="00E752E5">
        <w:rPr>
          <w:b/>
          <w:bCs/>
          <w:sz w:val="28"/>
          <w:szCs w:val="28"/>
        </w:rPr>
        <w:t>.</w:t>
      </w:r>
      <w:r w:rsidR="00A328CB">
        <w:rPr>
          <w:b/>
          <w:bCs/>
          <w:sz w:val="28"/>
          <w:szCs w:val="28"/>
        </w:rPr>
        <w:t>3</w:t>
      </w:r>
    </w:p>
    <w:p w:rsidR="0060209B" w:rsidRDefault="0060209B" w:rsidP="0060209B">
      <w:pPr>
        <w:autoSpaceDE w:val="0"/>
        <w:autoSpaceDN w:val="0"/>
        <w:adjustRightInd w:val="0"/>
        <w:jc w:val="center"/>
        <w:rPr>
          <w:b/>
          <w:bCs/>
          <w:sz w:val="28"/>
          <w:szCs w:val="28"/>
        </w:rPr>
      </w:pPr>
      <w:r>
        <w:rPr>
          <w:b/>
          <w:bCs/>
          <w:sz w:val="28"/>
          <w:szCs w:val="28"/>
        </w:rPr>
        <w:t>Regression</w:t>
      </w:r>
    </w:p>
    <w:p w:rsidR="00E752E5" w:rsidRPr="0060209B" w:rsidRDefault="00E752E5" w:rsidP="000F1204">
      <w:pPr>
        <w:autoSpaceDE w:val="0"/>
        <w:autoSpaceDN w:val="0"/>
        <w:adjustRightInd w:val="0"/>
        <w:jc w:val="center"/>
        <w:rPr>
          <w:b/>
          <w:bCs/>
        </w:rPr>
      </w:pPr>
      <w:r w:rsidRPr="0060209B">
        <w:rPr>
          <w:b/>
          <w:bCs/>
        </w:rPr>
        <w:t>Dependent variable: GDP Growth (Annual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0"/>
        <w:gridCol w:w="1389"/>
        <w:gridCol w:w="1178"/>
        <w:gridCol w:w="1081"/>
        <w:gridCol w:w="1080"/>
      </w:tblGrid>
      <w:tr w:rsidR="00DD5B88" w:rsidTr="0080390E">
        <w:trPr>
          <w:trHeight w:val="348"/>
          <w:jc w:val="center"/>
        </w:trPr>
        <w:tc>
          <w:tcPr>
            <w:tcW w:w="3300" w:type="dxa"/>
            <w:vMerge w:val="restart"/>
            <w:vAlign w:val="center"/>
          </w:tcPr>
          <w:p w:rsidR="00DD5B88" w:rsidRDefault="00DD5B88" w:rsidP="0080390E">
            <w:pPr>
              <w:autoSpaceDE w:val="0"/>
              <w:autoSpaceDN w:val="0"/>
              <w:adjustRightInd w:val="0"/>
              <w:jc w:val="center"/>
            </w:pPr>
            <w:r>
              <w:t>Variables</w:t>
            </w:r>
          </w:p>
        </w:tc>
        <w:tc>
          <w:tcPr>
            <w:tcW w:w="1389" w:type="dxa"/>
            <w:vMerge w:val="restart"/>
            <w:vAlign w:val="center"/>
          </w:tcPr>
          <w:p w:rsidR="00DD5B88" w:rsidRDefault="00DD5B88" w:rsidP="0080390E">
            <w:pPr>
              <w:autoSpaceDE w:val="0"/>
              <w:autoSpaceDN w:val="0"/>
              <w:adjustRightInd w:val="0"/>
              <w:jc w:val="center"/>
            </w:pPr>
            <w:r>
              <w:t>Coefficients</w:t>
            </w:r>
          </w:p>
        </w:tc>
        <w:tc>
          <w:tcPr>
            <w:tcW w:w="1178" w:type="dxa"/>
            <w:vMerge w:val="restart"/>
            <w:vAlign w:val="center"/>
          </w:tcPr>
          <w:p w:rsidR="00DD5B88" w:rsidRDefault="00DD5B88" w:rsidP="0080390E">
            <w:pPr>
              <w:autoSpaceDE w:val="0"/>
              <w:autoSpaceDN w:val="0"/>
              <w:adjustRightInd w:val="0"/>
              <w:jc w:val="center"/>
            </w:pPr>
            <w:r>
              <w:t>Std. Error</w:t>
            </w:r>
          </w:p>
        </w:tc>
        <w:tc>
          <w:tcPr>
            <w:tcW w:w="1081" w:type="dxa"/>
            <w:vMerge w:val="restart"/>
            <w:vAlign w:val="center"/>
          </w:tcPr>
          <w:p w:rsidR="00DD5B88" w:rsidRDefault="00DD5B88" w:rsidP="0080390E">
            <w:pPr>
              <w:autoSpaceDE w:val="0"/>
              <w:autoSpaceDN w:val="0"/>
              <w:adjustRightInd w:val="0"/>
              <w:jc w:val="center"/>
            </w:pPr>
            <w:r>
              <w:t>t-test</w:t>
            </w:r>
          </w:p>
        </w:tc>
        <w:tc>
          <w:tcPr>
            <w:tcW w:w="1080" w:type="dxa"/>
            <w:vMerge w:val="restart"/>
            <w:vAlign w:val="center"/>
          </w:tcPr>
          <w:p w:rsidR="00DD5B88" w:rsidRDefault="00DD5B88" w:rsidP="0080390E">
            <w:pPr>
              <w:autoSpaceDE w:val="0"/>
              <w:autoSpaceDN w:val="0"/>
              <w:adjustRightInd w:val="0"/>
              <w:jc w:val="center"/>
            </w:pPr>
            <w:r>
              <w:t>Sig. Level</w:t>
            </w:r>
          </w:p>
        </w:tc>
      </w:tr>
      <w:tr w:rsidR="00DD5B88" w:rsidTr="0080390E">
        <w:trPr>
          <w:trHeight w:val="480"/>
          <w:jc w:val="center"/>
        </w:trPr>
        <w:tc>
          <w:tcPr>
            <w:tcW w:w="3300" w:type="dxa"/>
            <w:vMerge/>
            <w:vAlign w:val="center"/>
          </w:tcPr>
          <w:p w:rsidR="00DD5B88" w:rsidRDefault="00DD5B88" w:rsidP="0080390E">
            <w:pPr>
              <w:autoSpaceDE w:val="0"/>
              <w:autoSpaceDN w:val="0"/>
              <w:adjustRightInd w:val="0"/>
              <w:jc w:val="center"/>
            </w:pPr>
          </w:p>
        </w:tc>
        <w:tc>
          <w:tcPr>
            <w:tcW w:w="1389" w:type="dxa"/>
            <w:vMerge/>
            <w:vAlign w:val="center"/>
          </w:tcPr>
          <w:p w:rsidR="00DD5B88" w:rsidRDefault="00DD5B88" w:rsidP="0080390E">
            <w:pPr>
              <w:autoSpaceDE w:val="0"/>
              <w:autoSpaceDN w:val="0"/>
              <w:adjustRightInd w:val="0"/>
              <w:jc w:val="center"/>
            </w:pPr>
          </w:p>
        </w:tc>
        <w:tc>
          <w:tcPr>
            <w:tcW w:w="1178" w:type="dxa"/>
            <w:vMerge/>
            <w:vAlign w:val="center"/>
          </w:tcPr>
          <w:p w:rsidR="00DD5B88" w:rsidRDefault="00DD5B88" w:rsidP="0080390E">
            <w:pPr>
              <w:autoSpaceDE w:val="0"/>
              <w:autoSpaceDN w:val="0"/>
              <w:adjustRightInd w:val="0"/>
              <w:jc w:val="center"/>
            </w:pPr>
          </w:p>
        </w:tc>
        <w:tc>
          <w:tcPr>
            <w:tcW w:w="1081" w:type="dxa"/>
            <w:vMerge/>
            <w:vAlign w:val="center"/>
          </w:tcPr>
          <w:p w:rsidR="00DD5B88" w:rsidRDefault="00DD5B88" w:rsidP="0080390E">
            <w:pPr>
              <w:autoSpaceDE w:val="0"/>
              <w:autoSpaceDN w:val="0"/>
              <w:adjustRightInd w:val="0"/>
              <w:jc w:val="center"/>
            </w:pPr>
          </w:p>
        </w:tc>
        <w:tc>
          <w:tcPr>
            <w:tcW w:w="1080" w:type="dxa"/>
            <w:vMerge/>
            <w:vAlign w:val="center"/>
          </w:tcPr>
          <w:p w:rsidR="00DD5B88" w:rsidRDefault="00DD5B88" w:rsidP="0080390E">
            <w:pPr>
              <w:autoSpaceDE w:val="0"/>
              <w:autoSpaceDN w:val="0"/>
              <w:adjustRightInd w:val="0"/>
              <w:jc w:val="center"/>
            </w:pPr>
          </w:p>
        </w:tc>
      </w:tr>
      <w:tr w:rsidR="00DD5B88" w:rsidTr="0080390E">
        <w:trPr>
          <w:jc w:val="center"/>
        </w:trPr>
        <w:tc>
          <w:tcPr>
            <w:tcW w:w="3300" w:type="dxa"/>
            <w:vAlign w:val="center"/>
          </w:tcPr>
          <w:p w:rsidR="00DD5B88" w:rsidRDefault="00DD5B88" w:rsidP="0080390E">
            <w:pPr>
              <w:autoSpaceDE w:val="0"/>
              <w:autoSpaceDN w:val="0"/>
              <w:adjustRightInd w:val="0"/>
              <w:spacing w:line="360" w:lineRule="auto"/>
              <w:jc w:val="center"/>
            </w:pPr>
            <w:r>
              <w:t>Constant</w:t>
            </w:r>
          </w:p>
        </w:tc>
        <w:tc>
          <w:tcPr>
            <w:tcW w:w="1389" w:type="dxa"/>
            <w:vAlign w:val="center"/>
          </w:tcPr>
          <w:p w:rsidR="00DD5B88" w:rsidRPr="0080390E" w:rsidRDefault="00DD5B88" w:rsidP="0080390E">
            <w:pPr>
              <w:autoSpaceDE w:val="0"/>
              <w:autoSpaceDN w:val="0"/>
              <w:adjustRightInd w:val="0"/>
              <w:jc w:val="center"/>
              <w:rPr>
                <w:color w:val="000000"/>
              </w:rPr>
            </w:pPr>
            <w:r w:rsidRPr="0080390E">
              <w:rPr>
                <w:color w:val="000000"/>
              </w:rPr>
              <w:t>-.805</w:t>
            </w:r>
          </w:p>
        </w:tc>
        <w:tc>
          <w:tcPr>
            <w:tcW w:w="1178" w:type="dxa"/>
            <w:vAlign w:val="center"/>
          </w:tcPr>
          <w:p w:rsidR="00DD5B88" w:rsidRPr="0080390E" w:rsidRDefault="00DD5B88" w:rsidP="0080390E">
            <w:pPr>
              <w:autoSpaceDE w:val="0"/>
              <w:autoSpaceDN w:val="0"/>
              <w:adjustRightInd w:val="0"/>
              <w:jc w:val="center"/>
              <w:rPr>
                <w:color w:val="000000"/>
              </w:rPr>
            </w:pPr>
            <w:r w:rsidRPr="0080390E">
              <w:rPr>
                <w:color w:val="000000"/>
              </w:rPr>
              <w:t>2.981</w:t>
            </w:r>
          </w:p>
        </w:tc>
        <w:tc>
          <w:tcPr>
            <w:tcW w:w="1081" w:type="dxa"/>
            <w:vAlign w:val="center"/>
          </w:tcPr>
          <w:p w:rsidR="00DD5B88" w:rsidRPr="0080390E" w:rsidRDefault="00DD5B88" w:rsidP="0080390E">
            <w:pPr>
              <w:autoSpaceDE w:val="0"/>
              <w:autoSpaceDN w:val="0"/>
              <w:adjustRightInd w:val="0"/>
              <w:jc w:val="center"/>
              <w:rPr>
                <w:color w:val="000000"/>
              </w:rPr>
            </w:pPr>
            <w:r w:rsidRPr="0080390E">
              <w:rPr>
                <w:color w:val="000000"/>
              </w:rPr>
              <w:t>-.270</w:t>
            </w:r>
          </w:p>
        </w:tc>
        <w:tc>
          <w:tcPr>
            <w:tcW w:w="1080" w:type="dxa"/>
            <w:vAlign w:val="center"/>
          </w:tcPr>
          <w:p w:rsidR="00DD5B88" w:rsidRPr="0080390E" w:rsidRDefault="00DD5B88" w:rsidP="0080390E">
            <w:pPr>
              <w:autoSpaceDE w:val="0"/>
              <w:autoSpaceDN w:val="0"/>
              <w:adjustRightInd w:val="0"/>
              <w:jc w:val="center"/>
              <w:rPr>
                <w:color w:val="000000"/>
              </w:rPr>
            </w:pPr>
            <w:r w:rsidRPr="0080390E">
              <w:rPr>
                <w:color w:val="000000"/>
              </w:rPr>
              <w:t>.789</w:t>
            </w:r>
          </w:p>
        </w:tc>
      </w:tr>
      <w:tr w:rsidR="00DD5B88" w:rsidTr="0080390E">
        <w:trPr>
          <w:jc w:val="center"/>
        </w:trPr>
        <w:tc>
          <w:tcPr>
            <w:tcW w:w="3300" w:type="dxa"/>
            <w:vAlign w:val="center"/>
          </w:tcPr>
          <w:p w:rsidR="00DD5B88" w:rsidRPr="0080390E" w:rsidRDefault="00DD5B88" w:rsidP="0080390E">
            <w:pPr>
              <w:autoSpaceDE w:val="0"/>
              <w:autoSpaceDN w:val="0"/>
              <w:adjustRightInd w:val="0"/>
              <w:jc w:val="center"/>
              <w:rPr>
                <w:color w:val="000000"/>
              </w:rPr>
            </w:pPr>
            <w:r w:rsidRPr="0080390E">
              <w:rPr>
                <w:color w:val="000000"/>
              </w:rPr>
              <w:t>Gross capital formation (annual % growth)</w:t>
            </w:r>
          </w:p>
        </w:tc>
        <w:tc>
          <w:tcPr>
            <w:tcW w:w="1389" w:type="dxa"/>
            <w:vAlign w:val="center"/>
          </w:tcPr>
          <w:p w:rsidR="00DD5B88" w:rsidRPr="0080390E" w:rsidRDefault="00DD5B88" w:rsidP="0080390E">
            <w:pPr>
              <w:autoSpaceDE w:val="0"/>
              <w:autoSpaceDN w:val="0"/>
              <w:adjustRightInd w:val="0"/>
              <w:jc w:val="center"/>
              <w:rPr>
                <w:color w:val="000000"/>
              </w:rPr>
            </w:pPr>
            <w:r w:rsidRPr="0080390E">
              <w:rPr>
                <w:color w:val="000000"/>
              </w:rPr>
              <w:t>.088</w:t>
            </w:r>
          </w:p>
        </w:tc>
        <w:tc>
          <w:tcPr>
            <w:tcW w:w="1178" w:type="dxa"/>
            <w:vAlign w:val="center"/>
          </w:tcPr>
          <w:p w:rsidR="00DD5B88" w:rsidRPr="0080390E" w:rsidRDefault="00DD5B88" w:rsidP="0080390E">
            <w:pPr>
              <w:autoSpaceDE w:val="0"/>
              <w:autoSpaceDN w:val="0"/>
              <w:adjustRightInd w:val="0"/>
              <w:jc w:val="center"/>
              <w:rPr>
                <w:color w:val="000000"/>
              </w:rPr>
            </w:pPr>
            <w:r w:rsidRPr="0080390E">
              <w:rPr>
                <w:color w:val="000000"/>
              </w:rPr>
              <w:t>.033</w:t>
            </w:r>
          </w:p>
        </w:tc>
        <w:tc>
          <w:tcPr>
            <w:tcW w:w="1081" w:type="dxa"/>
            <w:vAlign w:val="center"/>
          </w:tcPr>
          <w:p w:rsidR="00DD5B88" w:rsidRPr="0080390E" w:rsidRDefault="00DD5B88" w:rsidP="0080390E">
            <w:pPr>
              <w:autoSpaceDE w:val="0"/>
              <w:autoSpaceDN w:val="0"/>
              <w:adjustRightInd w:val="0"/>
              <w:jc w:val="center"/>
              <w:rPr>
                <w:color w:val="000000"/>
              </w:rPr>
            </w:pPr>
            <w:r w:rsidRPr="0080390E">
              <w:rPr>
                <w:color w:val="000000"/>
              </w:rPr>
              <w:t>2.663</w:t>
            </w:r>
          </w:p>
        </w:tc>
        <w:tc>
          <w:tcPr>
            <w:tcW w:w="1080" w:type="dxa"/>
            <w:vAlign w:val="center"/>
          </w:tcPr>
          <w:p w:rsidR="00DD5B88" w:rsidRPr="0080390E" w:rsidRDefault="00DD5B88" w:rsidP="0080390E">
            <w:pPr>
              <w:autoSpaceDE w:val="0"/>
              <w:autoSpaceDN w:val="0"/>
              <w:adjustRightInd w:val="0"/>
              <w:jc w:val="center"/>
              <w:rPr>
                <w:color w:val="000000"/>
              </w:rPr>
            </w:pPr>
            <w:r w:rsidRPr="0080390E">
              <w:rPr>
                <w:color w:val="000000"/>
              </w:rPr>
              <w:t>.011</w:t>
            </w:r>
          </w:p>
        </w:tc>
      </w:tr>
      <w:tr w:rsidR="00DD5B88" w:rsidTr="0080390E">
        <w:trPr>
          <w:jc w:val="center"/>
        </w:trPr>
        <w:tc>
          <w:tcPr>
            <w:tcW w:w="3300" w:type="dxa"/>
            <w:vAlign w:val="center"/>
          </w:tcPr>
          <w:p w:rsidR="00DD5B88" w:rsidRPr="0080390E" w:rsidRDefault="00DD5B88" w:rsidP="0080390E">
            <w:pPr>
              <w:autoSpaceDE w:val="0"/>
              <w:autoSpaceDN w:val="0"/>
              <w:adjustRightInd w:val="0"/>
              <w:jc w:val="center"/>
              <w:rPr>
                <w:color w:val="000000"/>
              </w:rPr>
            </w:pPr>
            <w:r w:rsidRPr="0080390E">
              <w:rPr>
                <w:color w:val="000000"/>
              </w:rPr>
              <w:t>Exports of goods and services (annual % growth)</w:t>
            </w:r>
          </w:p>
        </w:tc>
        <w:tc>
          <w:tcPr>
            <w:tcW w:w="1389" w:type="dxa"/>
            <w:vAlign w:val="center"/>
          </w:tcPr>
          <w:p w:rsidR="00DD5B88" w:rsidRPr="0080390E" w:rsidRDefault="00DD5B88" w:rsidP="0080390E">
            <w:pPr>
              <w:autoSpaceDE w:val="0"/>
              <w:autoSpaceDN w:val="0"/>
              <w:adjustRightInd w:val="0"/>
              <w:jc w:val="center"/>
              <w:rPr>
                <w:color w:val="000000"/>
              </w:rPr>
            </w:pPr>
            <w:r w:rsidRPr="0080390E">
              <w:rPr>
                <w:color w:val="000000"/>
              </w:rPr>
              <w:t>.074</w:t>
            </w:r>
          </w:p>
        </w:tc>
        <w:tc>
          <w:tcPr>
            <w:tcW w:w="1178" w:type="dxa"/>
            <w:vAlign w:val="center"/>
          </w:tcPr>
          <w:p w:rsidR="00DD5B88" w:rsidRPr="0080390E" w:rsidRDefault="00DD5B88" w:rsidP="0080390E">
            <w:pPr>
              <w:autoSpaceDE w:val="0"/>
              <w:autoSpaceDN w:val="0"/>
              <w:adjustRightInd w:val="0"/>
              <w:jc w:val="center"/>
              <w:rPr>
                <w:color w:val="000000"/>
              </w:rPr>
            </w:pPr>
            <w:r w:rsidRPr="0080390E">
              <w:rPr>
                <w:color w:val="000000"/>
              </w:rPr>
              <w:t>.025</w:t>
            </w:r>
          </w:p>
        </w:tc>
        <w:tc>
          <w:tcPr>
            <w:tcW w:w="1081" w:type="dxa"/>
            <w:vAlign w:val="center"/>
          </w:tcPr>
          <w:p w:rsidR="00DD5B88" w:rsidRPr="0080390E" w:rsidRDefault="00DD5B88" w:rsidP="0080390E">
            <w:pPr>
              <w:autoSpaceDE w:val="0"/>
              <w:autoSpaceDN w:val="0"/>
              <w:adjustRightInd w:val="0"/>
              <w:jc w:val="center"/>
              <w:rPr>
                <w:color w:val="000000"/>
              </w:rPr>
            </w:pPr>
            <w:r w:rsidRPr="0080390E">
              <w:rPr>
                <w:color w:val="000000"/>
              </w:rPr>
              <w:t>2.897</w:t>
            </w:r>
          </w:p>
        </w:tc>
        <w:tc>
          <w:tcPr>
            <w:tcW w:w="1080" w:type="dxa"/>
            <w:vAlign w:val="center"/>
          </w:tcPr>
          <w:p w:rsidR="00DD5B88" w:rsidRPr="0080390E" w:rsidRDefault="00DD5B88" w:rsidP="0080390E">
            <w:pPr>
              <w:autoSpaceDE w:val="0"/>
              <w:autoSpaceDN w:val="0"/>
              <w:adjustRightInd w:val="0"/>
              <w:jc w:val="center"/>
              <w:rPr>
                <w:color w:val="000000"/>
              </w:rPr>
            </w:pPr>
            <w:r w:rsidRPr="0080390E">
              <w:rPr>
                <w:color w:val="000000"/>
              </w:rPr>
              <w:t>.006</w:t>
            </w:r>
          </w:p>
        </w:tc>
      </w:tr>
      <w:tr w:rsidR="00DD5B88" w:rsidTr="0080390E">
        <w:trPr>
          <w:jc w:val="center"/>
        </w:trPr>
        <w:tc>
          <w:tcPr>
            <w:tcW w:w="3300" w:type="dxa"/>
            <w:vAlign w:val="center"/>
          </w:tcPr>
          <w:p w:rsidR="00DD5B88" w:rsidRPr="0080390E" w:rsidRDefault="00DD5B88" w:rsidP="0080390E">
            <w:pPr>
              <w:autoSpaceDE w:val="0"/>
              <w:autoSpaceDN w:val="0"/>
              <w:adjustRightInd w:val="0"/>
              <w:jc w:val="center"/>
              <w:rPr>
                <w:color w:val="000000"/>
              </w:rPr>
            </w:pPr>
            <w:r w:rsidRPr="0080390E">
              <w:rPr>
                <w:color w:val="000000"/>
              </w:rPr>
              <w:t>Inflation, consumer prices (annual %)</w:t>
            </w:r>
          </w:p>
        </w:tc>
        <w:tc>
          <w:tcPr>
            <w:tcW w:w="1389" w:type="dxa"/>
            <w:vAlign w:val="center"/>
          </w:tcPr>
          <w:p w:rsidR="00DD5B88" w:rsidRPr="0080390E" w:rsidRDefault="00DD5B88" w:rsidP="0080390E">
            <w:pPr>
              <w:autoSpaceDE w:val="0"/>
              <w:autoSpaceDN w:val="0"/>
              <w:adjustRightInd w:val="0"/>
              <w:jc w:val="center"/>
              <w:rPr>
                <w:color w:val="000000"/>
              </w:rPr>
            </w:pPr>
            <w:r w:rsidRPr="0080390E">
              <w:rPr>
                <w:color w:val="000000"/>
              </w:rPr>
              <w:t>.032</w:t>
            </w:r>
          </w:p>
        </w:tc>
        <w:tc>
          <w:tcPr>
            <w:tcW w:w="1178" w:type="dxa"/>
            <w:vAlign w:val="center"/>
          </w:tcPr>
          <w:p w:rsidR="00DD5B88" w:rsidRPr="0080390E" w:rsidRDefault="00DD5B88" w:rsidP="0080390E">
            <w:pPr>
              <w:autoSpaceDE w:val="0"/>
              <w:autoSpaceDN w:val="0"/>
              <w:adjustRightInd w:val="0"/>
              <w:jc w:val="center"/>
              <w:rPr>
                <w:color w:val="000000"/>
              </w:rPr>
            </w:pPr>
            <w:r w:rsidRPr="0080390E">
              <w:rPr>
                <w:color w:val="000000"/>
              </w:rPr>
              <w:t>.061</w:t>
            </w:r>
          </w:p>
        </w:tc>
        <w:tc>
          <w:tcPr>
            <w:tcW w:w="1081" w:type="dxa"/>
            <w:vAlign w:val="center"/>
          </w:tcPr>
          <w:p w:rsidR="00DD5B88" w:rsidRPr="0080390E" w:rsidRDefault="00DD5B88" w:rsidP="0080390E">
            <w:pPr>
              <w:autoSpaceDE w:val="0"/>
              <w:autoSpaceDN w:val="0"/>
              <w:adjustRightInd w:val="0"/>
              <w:jc w:val="center"/>
              <w:rPr>
                <w:color w:val="000000"/>
              </w:rPr>
            </w:pPr>
            <w:r w:rsidRPr="0080390E">
              <w:rPr>
                <w:color w:val="000000"/>
              </w:rPr>
              <w:t>.524</w:t>
            </w:r>
          </w:p>
        </w:tc>
        <w:tc>
          <w:tcPr>
            <w:tcW w:w="1080" w:type="dxa"/>
            <w:vAlign w:val="center"/>
          </w:tcPr>
          <w:p w:rsidR="00DD5B88" w:rsidRPr="0080390E" w:rsidRDefault="00DD5B88" w:rsidP="0080390E">
            <w:pPr>
              <w:autoSpaceDE w:val="0"/>
              <w:autoSpaceDN w:val="0"/>
              <w:adjustRightInd w:val="0"/>
              <w:jc w:val="center"/>
              <w:rPr>
                <w:color w:val="000000"/>
              </w:rPr>
            </w:pPr>
            <w:r w:rsidRPr="0080390E">
              <w:rPr>
                <w:color w:val="000000"/>
              </w:rPr>
              <w:t>.603</w:t>
            </w:r>
          </w:p>
        </w:tc>
      </w:tr>
      <w:tr w:rsidR="00DD5B88" w:rsidTr="0080390E">
        <w:trPr>
          <w:jc w:val="center"/>
        </w:trPr>
        <w:tc>
          <w:tcPr>
            <w:tcW w:w="3300" w:type="dxa"/>
            <w:vAlign w:val="center"/>
          </w:tcPr>
          <w:p w:rsidR="00DD5B88" w:rsidRPr="0080390E" w:rsidRDefault="00DD5B88" w:rsidP="0080390E">
            <w:pPr>
              <w:autoSpaceDE w:val="0"/>
              <w:autoSpaceDN w:val="0"/>
              <w:adjustRightInd w:val="0"/>
              <w:jc w:val="center"/>
              <w:rPr>
                <w:color w:val="000000"/>
              </w:rPr>
            </w:pPr>
            <w:r w:rsidRPr="0080390E">
              <w:rPr>
                <w:color w:val="000000"/>
              </w:rPr>
              <w:t>Official exchange rate (LCU per US$, period average)</w:t>
            </w:r>
          </w:p>
        </w:tc>
        <w:tc>
          <w:tcPr>
            <w:tcW w:w="1389" w:type="dxa"/>
            <w:vAlign w:val="center"/>
          </w:tcPr>
          <w:p w:rsidR="00DD5B88" w:rsidRPr="0080390E" w:rsidRDefault="00DD5B88" w:rsidP="0080390E">
            <w:pPr>
              <w:autoSpaceDE w:val="0"/>
              <w:autoSpaceDN w:val="0"/>
              <w:adjustRightInd w:val="0"/>
              <w:jc w:val="center"/>
              <w:rPr>
                <w:color w:val="000000"/>
              </w:rPr>
            </w:pPr>
            <w:r w:rsidRPr="0080390E">
              <w:rPr>
                <w:color w:val="000000"/>
              </w:rPr>
              <w:t>-.040</w:t>
            </w:r>
          </w:p>
        </w:tc>
        <w:tc>
          <w:tcPr>
            <w:tcW w:w="1178" w:type="dxa"/>
            <w:vAlign w:val="center"/>
          </w:tcPr>
          <w:p w:rsidR="00DD5B88" w:rsidRPr="0080390E" w:rsidRDefault="00DD5B88" w:rsidP="0080390E">
            <w:pPr>
              <w:autoSpaceDE w:val="0"/>
              <w:autoSpaceDN w:val="0"/>
              <w:adjustRightInd w:val="0"/>
              <w:jc w:val="center"/>
              <w:rPr>
                <w:color w:val="000000"/>
              </w:rPr>
            </w:pPr>
            <w:r w:rsidRPr="0080390E">
              <w:rPr>
                <w:color w:val="000000"/>
              </w:rPr>
              <w:t>.018</w:t>
            </w:r>
          </w:p>
        </w:tc>
        <w:tc>
          <w:tcPr>
            <w:tcW w:w="1081" w:type="dxa"/>
            <w:vAlign w:val="center"/>
          </w:tcPr>
          <w:p w:rsidR="00DD5B88" w:rsidRPr="0080390E" w:rsidRDefault="00DD5B88" w:rsidP="0080390E">
            <w:pPr>
              <w:autoSpaceDE w:val="0"/>
              <w:autoSpaceDN w:val="0"/>
              <w:adjustRightInd w:val="0"/>
              <w:jc w:val="center"/>
              <w:rPr>
                <w:color w:val="000000"/>
              </w:rPr>
            </w:pPr>
            <w:r w:rsidRPr="0080390E">
              <w:rPr>
                <w:color w:val="000000"/>
              </w:rPr>
              <w:t>-2.261</w:t>
            </w:r>
          </w:p>
        </w:tc>
        <w:tc>
          <w:tcPr>
            <w:tcW w:w="1080" w:type="dxa"/>
            <w:vAlign w:val="center"/>
          </w:tcPr>
          <w:p w:rsidR="00DD5B88" w:rsidRPr="0080390E" w:rsidRDefault="00DD5B88" w:rsidP="0080390E">
            <w:pPr>
              <w:autoSpaceDE w:val="0"/>
              <w:autoSpaceDN w:val="0"/>
              <w:adjustRightInd w:val="0"/>
              <w:jc w:val="center"/>
              <w:rPr>
                <w:color w:val="000000"/>
              </w:rPr>
            </w:pPr>
            <w:r w:rsidRPr="0080390E">
              <w:rPr>
                <w:color w:val="000000"/>
              </w:rPr>
              <w:t>.029</w:t>
            </w:r>
          </w:p>
        </w:tc>
      </w:tr>
      <w:tr w:rsidR="00DD5B88" w:rsidTr="0080390E">
        <w:trPr>
          <w:jc w:val="center"/>
        </w:trPr>
        <w:tc>
          <w:tcPr>
            <w:tcW w:w="3300" w:type="dxa"/>
            <w:vAlign w:val="center"/>
          </w:tcPr>
          <w:p w:rsidR="00DD5B88" w:rsidRPr="0080390E" w:rsidRDefault="00DD5B88" w:rsidP="0080390E">
            <w:pPr>
              <w:autoSpaceDE w:val="0"/>
              <w:autoSpaceDN w:val="0"/>
              <w:adjustRightInd w:val="0"/>
              <w:jc w:val="center"/>
              <w:rPr>
                <w:color w:val="000000"/>
              </w:rPr>
            </w:pPr>
            <w:r w:rsidRPr="0080390E">
              <w:rPr>
                <w:color w:val="000000"/>
              </w:rPr>
              <w:t>Domestic credit to private sector (% of GDP)</w:t>
            </w:r>
          </w:p>
        </w:tc>
        <w:tc>
          <w:tcPr>
            <w:tcW w:w="1389" w:type="dxa"/>
            <w:vAlign w:val="center"/>
          </w:tcPr>
          <w:p w:rsidR="00DD5B88" w:rsidRPr="0080390E" w:rsidRDefault="00DD5B88" w:rsidP="0080390E">
            <w:pPr>
              <w:autoSpaceDE w:val="0"/>
              <w:autoSpaceDN w:val="0"/>
              <w:adjustRightInd w:val="0"/>
              <w:jc w:val="center"/>
              <w:rPr>
                <w:color w:val="000000"/>
              </w:rPr>
            </w:pPr>
            <w:r w:rsidRPr="0080390E">
              <w:rPr>
                <w:color w:val="000000"/>
              </w:rPr>
              <w:t>.244</w:t>
            </w:r>
          </w:p>
        </w:tc>
        <w:tc>
          <w:tcPr>
            <w:tcW w:w="1178" w:type="dxa"/>
            <w:vAlign w:val="center"/>
          </w:tcPr>
          <w:p w:rsidR="00DD5B88" w:rsidRPr="0080390E" w:rsidRDefault="00DD5B88" w:rsidP="0080390E">
            <w:pPr>
              <w:autoSpaceDE w:val="0"/>
              <w:autoSpaceDN w:val="0"/>
              <w:adjustRightInd w:val="0"/>
              <w:jc w:val="center"/>
              <w:rPr>
                <w:color w:val="000000"/>
              </w:rPr>
            </w:pPr>
            <w:r w:rsidRPr="0080390E">
              <w:rPr>
                <w:color w:val="000000"/>
              </w:rPr>
              <w:t>.114</w:t>
            </w:r>
          </w:p>
        </w:tc>
        <w:tc>
          <w:tcPr>
            <w:tcW w:w="1081" w:type="dxa"/>
            <w:vAlign w:val="center"/>
          </w:tcPr>
          <w:p w:rsidR="00DD5B88" w:rsidRPr="0080390E" w:rsidRDefault="00DD5B88" w:rsidP="0080390E">
            <w:pPr>
              <w:autoSpaceDE w:val="0"/>
              <w:autoSpaceDN w:val="0"/>
              <w:adjustRightInd w:val="0"/>
              <w:jc w:val="center"/>
              <w:rPr>
                <w:color w:val="000000"/>
              </w:rPr>
            </w:pPr>
            <w:r w:rsidRPr="0080390E">
              <w:rPr>
                <w:color w:val="000000"/>
              </w:rPr>
              <w:t>2.144</w:t>
            </w:r>
          </w:p>
        </w:tc>
        <w:tc>
          <w:tcPr>
            <w:tcW w:w="1080" w:type="dxa"/>
            <w:vAlign w:val="center"/>
          </w:tcPr>
          <w:p w:rsidR="00DD5B88" w:rsidRPr="0080390E" w:rsidRDefault="00DD5B88" w:rsidP="0080390E">
            <w:pPr>
              <w:autoSpaceDE w:val="0"/>
              <w:autoSpaceDN w:val="0"/>
              <w:adjustRightInd w:val="0"/>
              <w:jc w:val="center"/>
              <w:rPr>
                <w:color w:val="000000"/>
              </w:rPr>
            </w:pPr>
            <w:r w:rsidRPr="0080390E">
              <w:rPr>
                <w:color w:val="000000"/>
              </w:rPr>
              <w:t>.038</w:t>
            </w:r>
          </w:p>
        </w:tc>
      </w:tr>
    </w:tbl>
    <w:p w:rsidR="00E20E5B" w:rsidRDefault="00E20E5B" w:rsidP="00625936">
      <w:pPr>
        <w:autoSpaceDE w:val="0"/>
        <w:autoSpaceDN w:val="0"/>
        <w:adjustRightInd w:val="0"/>
        <w:spacing w:line="360" w:lineRule="auto"/>
        <w:ind w:firstLine="720"/>
        <w:jc w:val="both"/>
      </w:pPr>
    </w:p>
    <w:p w:rsidR="00563FC5" w:rsidRDefault="002A725E" w:rsidP="00D52D34">
      <w:pPr>
        <w:autoSpaceDE w:val="0"/>
        <w:autoSpaceDN w:val="0"/>
        <w:adjustRightInd w:val="0"/>
        <w:spacing w:line="360" w:lineRule="auto"/>
        <w:ind w:firstLine="720"/>
        <w:jc w:val="both"/>
      </w:pPr>
      <w:r>
        <w:t xml:space="preserve">Necessary statistics have been shown in table </w:t>
      </w:r>
      <w:r w:rsidR="00D9162B">
        <w:t>3</w:t>
      </w:r>
      <w:r>
        <w:t>.</w:t>
      </w:r>
      <w:r w:rsidR="00A328CB">
        <w:t>4</w:t>
      </w:r>
      <w:r>
        <w:t>.</w:t>
      </w:r>
      <w:r w:rsidR="00133151">
        <w:t xml:space="preserve"> </w:t>
      </w:r>
      <w:r w:rsidR="001C6D6E">
        <w:t>The value of the coefficient of determination</w:t>
      </w:r>
      <w:r w:rsidR="00625936">
        <w:t xml:space="preserve"> (R</w:t>
      </w:r>
      <w:r w:rsidR="00625936" w:rsidRPr="00625936">
        <w:rPr>
          <w:vertAlign w:val="superscript"/>
        </w:rPr>
        <w:t>2</w:t>
      </w:r>
      <w:r w:rsidR="00625936">
        <w:t>)</w:t>
      </w:r>
      <w:r w:rsidR="001C6D6E">
        <w:t xml:space="preserve"> is 0.371. This shows that the correlation between the observed values of GDP growth and the fitted values of the GDP growth is</w:t>
      </w:r>
      <w:r w:rsidR="0048151F">
        <w:t xml:space="preserve"> </w:t>
      </w:r>
      <w:r w:rsidR="001C6D6E">
        <w:t>thirty seven percent.</w:t>
      </w:r>
      <w:r w:rsidR="00625936" w:rsidRPr="00625936">
        <w:t xml:space="preserve"> </w:t>
      </w:r>
      <w:r w:rsidR="00FF1D0C">
        <w:t xml:space="preserve">                                                                                                                                                                                                                                                                                                                                                                                                                                                                                                                                                                                                                                        </w:t>
      </w:r>
      <w:r w:rsidR="00625936">
        <w:t xml:space="preserve">. </w:t>
      </w:r>
      <w:r w:rsidR="00A522DC">
        <w:t>The value of the adjusted coefficient of determination (adj. R</w:t>
      </w:r>
      <w:r w:rsidR="00A522DC" w:rsidRPr="003431BA">
        <w:rPr>
          <w:vertAlign w:val="superscript"/>
        </w:rPr>
        <w:t>2</w:t>
      </w:r>
      <w:r w:rsidR="00A522DC">
        <w:t xml:space="preserve">) is not affected by the inclusion of the irrelevant variables. </w:t>
      </w:r>
      <w:r w:rsidR="003431BA">
        <w:t>The value of the</w:t>
      </w:r>
      <w:r w:rsidR="00102F33">
        <w:t xml:space="preserve"> adjusted</w:t>
      </w:r>
      <w:r w:rsidR="003431BA">
        <w:t xml:space="preserve"> coefficient of determination (</w:t>
      </w:r>
      <w:r w:rsidR="00102F33">
        <w:t xml:space="preserve">adj. </w:t>
      </w:r>
      <w:r w:rsidR="003431BA">
        <w:t>R</w:t>
      </w:r>
      <w:r w:rsidR="003431BA" w:rsidRPr="003431BA">
        <w:rPr>
          <w:vertAlign w:val="superscript"/>
        </w:rPr>
        <w:t>2</w:t>
      </w:r>
      <w:r w:rsidR="003431BA">
        <w:t>) is 0.</w:t>
      </w:r>
      <w:r w:rsidR="00102F33">
        <w:t>29</w:t>
      </w:r>
      <w:r w:rsidR="003431BA">
        <w:t xml:space="preserve">, which shows that </w:t>
      </w:r>
      <w:r w:rsidR="00102F33">
        <w:t>twenty nine</w:t>
      </w:r>
      <w:r w:rsidR="003431BA">
        <w:t xml:space="preserve"> percent variations in economic growth are explained by the variations in independent variables</w:t>
      </w:r>
      <w:r w:rsidR="002C4998">
        <w:rPr>
          <w:rStyle w:val="FootnoteReference"/>
        </w:rPr>
        <w:footnoteReference w:id="8"/>
      </w:r>
      <w:r w:rsidR="003431BA">
        <w:t xml:space="preserve">. </w:t>
      </w:r>
      <w:r w:rsidR="007A0814">
        <w:t>The v</w:t>
      </w:r>
      <w:r w:rsidR="0079191F">
        <w:t xml:space="preserve">alue of F-statistic is statistically significant at </w:t>
      </w:r>
      <w:r w:rsidR="00EC0C49">
        <w:t xml:space="preserve">less than five percent which exhibits that </w:t>
      </w:r>
      <w:r w:rsidR="00D80B24">
        <w:t xml:space="preserve">in the </w:t>
      </w:r>
      <w:r w:rsidR="00EC0C49">
        <w:t xml:space="preserve">estimated model </w:t>
      </w:r>
      <w:r w:rsidR="00FF1D0C">
        <w:t>at</w:t>
      </w:r>
      <w:r w:rsidR="00D80B24">
        <w:t xml:space="preserve"> least one of the partial regression coefficients is different from zero.</w:t>
      </w:r>
      <w:r w:rsidR="00386741">
        <w:t xml:space="preserve"> </w:t>
      </w:r>
      <w:r w:rsidR="007A0814">
        <w:t xml:space="preserve">The </w:t>
      </w:r>
      <w:r w:rsidR="00D44DCD">
        <w:t xml:space="preserve">value of Durbin-Watson statistic is </w:t>
      </w:r>
      <w:r w:rsidR="00362B25">
        <w:t>1.954 which is very much supportive</w:t>
      </w:r>
      <w:r w:rsidR="00DE007E">
        <w:t xml:space="preserve"> (close to two)</w:t>
      </w:r>
      <w:r w:rsidR="00362B25">
        <w:t xml:space="preserve"> and reveals that there is no </w:t>
      </w:r>
      <w:r w:rsidR="00DE007E">
        <w:t xml:space="preserve">serial </w:t>
      </w:r>
      <w:r w:rsidR="00362B25">
        <w:t>correlation in the error term.</w:t>
      </w:r>
    </w:p>
    <w:p w:rsidR="00250131" w:rsidRDefault="00250131" w:rsidP="00F37030">
      <w:pPr>
        <w:autoSpaceDE w:val="0"/>
        <w:autoSpaceDN w:val="0"/>
        <w:adjustRightInd w:val="0"/>
        <w:jc w:val="center"/>
        <w:rPr>
          <w:b/>
          <w:bCs/>
          <w:sz w:val="28"/>
          <w:szCs w:val="28"/>
        </w:rPr>
      </w:pPr>
    </w:p>
    <w:p w:rsidR="00F37030" w:rsidRDefault="00F37030" w:rsidP="00F37030">
      <w:pPr>
        <w:autoSpaceDE w:val="0"/>
        <w:autoSpaceDN w:val="0"/>
        <w:adjustRightInd w:val="0"/>
        <w:jc w:val="center"/>
        <w:rPr>
          <w:b/>
          <w:bCs/>
          <w:sz w:val="28"/>
          <w:szCs w:val="28"/>
        </w:rPr>
      </w:pPr>
      <w:r w:rsidRPr="00E752E5">
        <w:rPr>
          <w:b/>
          <w:bCs/>
          <w:sz w:val="28"/>
          <w:szCs w:val="28"/>
        </w:rPr>
        <w:t xml:space="preserve">Table </w:t>
      </w:r>
      <w:r>
        <w:rPr>
          <w:b/>
          <w:bCs/>
          <w:sz w:val="28"/>
          <w:szCs w:val="28"/>
        </w:rPr>
        <w:t>3</w:t>
      </w:r>
      <w:r w:rsidRPr="00E752E5">
        <w:rPr>
          <w:b/>
          <w:bCs/>
          <w:sz w:val="28"/>
          <w:szCs w:val="28"/>
        </w:rPr>
        <w:t>.</w:t>
      </w:r>
      <w:r>
        <w:rPr>
          <w:b/>
          <w:bCs/>
          <w:sz w:val="28"/>
          <w:szCs w:val="28"/>
        </w:rPr>
        <w:t>4</w:t>
      </w:r>
    </w:p>
    <w:p w:rsidR="00F37030" w:rsidRDefault="00F37030" w:rsidP="00F37030">
      <w:pPr>
        <w:autoSpaceDE w:val="0"/>
        <w:autoSpaceDN w:val="0"/>
        <w:adjustRightInd w:val="0"/>
        <w:jc w:val="center"/>
        <w:rPr>
          <w:b/>
          <w:bCs/>
          <w:sz w:val="28"/>
          <w:szCs w:val="28"/>
        </w:rPr>
      </w:pPr>
      <w:r>
        <w:rPr>
          <w:b/>
          <w:bCs/>
          <w:sz w:val="28"/>
          <w:szCs w:val="28"/>
        </w:rPr>
        <w:lastRenderedPageBreak/>
        <w:t>Necessary 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2700"/>
        <w:gridCol w:w="1800"/>
        <w:gridCol w:w="1440"/>
        <w:gridCol w:w="1467"/>
      </w:tblGrid>
      <w:tr w:rsidR="00F37030" w:rsidRPr="00D71CFD" w:rsidTr="0080390E">
        <w:trPr>
          <w:jc w:val="center"/>
        </w:trPr>
        <w:tc>
          <w:tcPr>
            <w:tcW w:w="2224" w:type="dxa"/>
            <w:vAlign w:val="center"/>
          </w:tcPr>
          <w:p w:rsidR="00F37030" w:rsidRDefault="00F37030" w:rsidP="0080390E">
            <w:pPr>
              <w:autoSpaceDE w:val="0"/>
              <w:autoSpaceDN w:val="0"/>
              <w:adjustRightInd w:val="0"/>
              <w:spacing w:line="360" w:lineRule="auto"/>
              <w:jc w:val="center"/>
            </w:pPr>
            <w:r>
              <w:t xml:space="preserve">Coefficient of </w:t>
            </w:r>
          </w:p>
          <w:p w:rsidR="00F37030" w:rsidRPr="00D71CFD" w:rsidRDefault="00F37030" w:rsidP="0080390E">
            <w:pPr>
              <w:autoSpaceDE w:val="0"/>
              <w:autoSpaceDN w:val="0"/>
              <w:adjustRightInd w:val="0"/>
              <w:spacing w:line="360" w:lineRule="auto"/>
              <w:jc w:val="center"/>
            </w:pPr>
            <w:r>
              <w:t>Determination (R</w:t>
            </w:r>
            <w:r w:rsidRPr="0080390E">
              <w:rPr>
                <w:vertAlign w:val="superscript"/>
              </w:rPr>
              <w:t>2</w:t>
            </w:r>
            <w:r>
              <w:t>)</w:t>
            </w:r>
          </w:p>
        </w:tc>
        <w:tc>
          <w:tcPr>
            <w:tcW w:w="2700" w:type="dxa"/>
            <w:vAlign w:val="center"/>
          </w:tcPr>
          <w:p w:rsidR="00F37030" w:rsidRDefault="00F37030" w:rsidP="0080390E">
            <w:pPr>
              <w:autoSpaceDE w:val="0"/>
              <w:autoSpaceDN w:val="0"/>
              <w:adjustRightInd w:val="0"/>
              <w:spacing w:line="360" w:lineRule="auto"/>
              <w:jc w:val="center"/>
            </w:pPr>
            <w:r>
              <w:t xml:space="preserve">Adjusted Coefficient of </w:t>
            </w:r>
          </w:p>
          <w:p w:rsidR="00F37030" w:rsidRPr="00D71CFD" w:rsidRDefault="00F37030" w:rsidP="0080390E">
            <w:pPr>
              <w:autoSpaceDE w:val="0"/>
              <w:autoSpaceDN w:val="0"/>
              <w:adjustRightInd w:val="0"/>
              <w:spacing w:line="360" w:lineRule="auto"/>
              <w:jc w:val="center"/>
            </w:pPr>
            <w:r>
              <w:t>Determination (Adj. R</w:t>
            </w:r>
            <w:r w:rsidRPr="0080390E">
              <w:rPr>
                <w:vertAlign w:val="superscript"/>
              </w:rPr>
              <w:t>2</w:t>
            </w:r>
            <w:r>
              <w:t>)</w:t>
            </w:r>
          </w:p>
        </w:tc>
        <w:tc>
          <w:tcPr>
            <w:tcW w:w="1800" w:type="dxa"/>
            <w:vAlign w:val="center"/>
          </w:tcPr>
          <w:p w:rsidR="00F37030" w:rsidRPr="00D71CFD" w:rsidRDefault="00F37030" w:rsidP="0080390E">
            <w:pPr>
              <w:autoSpaceDE w:val="0"/>
              <w:autoSpaceDN w:val="0"/>
              <w:adjustRightInd w:val="0"/>
              <w:spacing w:line="360" w:lineRule="auto"/>
              <w:jc w:val="center"/>
            </w:pPr>
            <w:r>
              <w:t>Durbin-Watson Statistic</w:t>
            </w:r>
          </w:p>
        </w:tc>
        <w:tc>
          <w:tcPr>
            <w:tcW w:w="1440" w:type="dxa"/>
            <w:vAlign w:val="center"/>
          </w:tcPr>
          <w:p w:rsidR="00F37030" w:rsidRPr="00D71CFD" w:rsidRDefault="00F37030" w:rsidP="0080390E">
            <w:pPr>
              <w:autoSpaceDE w:val="0"/>
              <w:autoSpaceDN w:val="0"/>
              <w:adjustRightInd w:val="0"/>
              <w:spacing w:line="360" w:lineRule="auto"/>
              <w:jc w:val="center"/>
            </w:pPr>
            <w:r>
              <w:t>F-Statistic</w:t>
            </w:r>
          </w:p>
        </w:tc>
        <w:tc>
          <w:tcPr>
            <w:tcW w:w="1467" w:type="dxa"/>
            <w:vAlign w:val="center"/>
          </w:tcPr>
          <w:p w:rsidR="00F37030" w:rsidRPr="00D71CFD" w:rsidRDefault="00F37030" w:rsidP="0080390E">
            <w:pPr>
              <w:autoSpaceDE w:val="0"/>
              <w:autoSpaceDN w:val="0"/>
              <w:adjustRightInd w:val="0"/>
              <w:spacing w:line="360" w:lineRule="auto"/>
              <w:jc w:val="center"/>
            </w:pPr>
            <w:r>
              <w:t>Sig. (F-Stat)</w:t>
            </w:r>
          </w:p>
        </w:tc>
      </w:tr>
      <w:tr w:rsidR="00F37030" w:rsidRPr="00D71CFD" w:rsidTr="0080390E">
        <w:trPr>
          <w:jc w:val="center"/>
        </w:trPr>
        <w:tc>
          <w:tcPr>
            <w:tcW w:w="2224" w:type="dxa"/>
            <w:vAlign w:val="center"/>
          </w:tcPr>
          <w:p w:rsidR="00F37030" w:rsidRPr="00D71CFD" w:rsidRDefault="00F37030" w:rsidP="0080390E">
            <w:pPr>
              <w:autoSpaceDE w:val="0"/>
              <w:autoSpaceDN w:val="0"/>
              <w:adjustRightInd w:val="0"/>
              <w:spacing w:line="360" w:lineRule="auto"/>
              <w:jc w:val="center"/>
            </w:pPr>
            <w:r>
              <w:t>0.371</w:t>
            </w:r>
          </w:p>
        </w:tc>
        <w:tc>
          <w:tcPr>
            <w:tcW w:w="2700" w:type="dxa"/>
            <w:vAlign w:val="center"/>
          </w:tcPr>
          <w:p w:rsidR="00F37030" w:rsidRPr="00D71CFD" w:rsidRDefault="00F37030" w:rsidP="0080390E">
            <w:pPr>
              <w:autoSpaceDE w:val="0"/>
              <w:autoSpaceDN w:val="0"/>
              <w:adjustRightInd w:val="0"/>
              <w:spacing w:line="360" w:lineRule="auto"/>
              <w:jc w:val="center"/>
            </w:pPr>
            <w:r>
              <w:t>0.29</w:t>
            </w:r>
          </w:p>
        </w:tc>
        <w:tc>
          <w:tcPr>
            <w:tcW w:w="1800" w:type="dxa"/>
            <w:vAlign w:val="center"/>
          </w:tcPr>
          <w:p w:rsidR="00F37030" w:rsidRPr="00D71CFD" w:rsidRDefault="00F37030" w:rsidP="0080390E">
            <w:pPr>
              <w:autoSpaceDE w:val="0"/>
              <w:autoSpaceDN w:val="0"/>
              <w:adjustRightInd w:val="0"/>
              <w:spacing w:line="360" w:lineRule="auto"/>
              <w:jc w:val="center"/>
            </w:pPr>
            <w:r>
              <w:t>1.954</w:t>
            </w:r>
          </w:p>
        </w:tc>
        <w:tc>
          <w:tcPr>
            <w:tcW w:w="1440" w:type="dxa"/>
            <w:vAlign w:val="center"/>
          </w:tcPr>
          <w:p w:rsidR="00F37030" w:rsidRPr="00D71CFD" w:rsidRDefault="00F37030" w:rsidP="0080390E">
            <w:pPr>
              <w:autoSpaceDE w:val="0"/>
              <w:autoSpaceDN w:val="0"/>
              <w:adjustRightInd w:val="0"/>
              <w:spacing w:line="360" w:lineRule="auto"/>
              <w:jc w:val="center"/>
            </w:pPr>
            <w:r>
              <w:t>4.602</w:t>
            </w:r>
          </w:p>
        </w:tc>
        <w:tc>
          <w:tcPr>
            <w:tcW w:w="1467" w:type="dxa"/>
            <w:vAlign w:val="center"/>
          </w:tcPr>
          <w:p w:rsidR="00F37030" w:rsidRPr="00D71CFD" w:rsidRDefault="00F37030" w:rsidP="0080390E">
            <w:pPr>
              <w:autoSpaceDE w:val="0"/>
              <w:autoSpaceDN w:val="0"/>
              <w:adjustRightInd w:val="0"/>
              <w:spacing w:line="360" w:lineRule="auto"/>
              <w:jc w:val="center"/>
            </w:pPr>
            <w:r>
              <w:t>0.002</w:t>
            </w:r>
          </w:p>
        </w:tc>
      </w:tr>
    </w:tbl>
    <w:p w:rsidR="00F37030" w:rsidRDefault="00F37030" w:rsidP="00F37030">
      <w:pPr>
        <w:autoSpaceDE w:val="0"/>
        <w:autoSpaceDN w:val="0"/>
        <w:adjustRightInd w:val="0"/>
        <w:spacing w:line="360" w:lineRule="auto"/>
        <w:jc w:val="center"/>
        <w:rPr>
          <w:b/>
          <w:bCs/>
          <w:sz w:val="28"/>
          <w:szCs w:val="28"/>
        </w:rPr>
      </w:pPr>
    </w:p>
    <w:p w:rsidR="00F37030" w:rsidRDefault="00F37030" w:rsidP="00F37030">
      <w:pPr>
        <w:autoSpaceDE w:val="0"/>
        <w:autoSpaceDN w:val="0"/>
        <w:adjustRightInd w:val="0"/>
        <w:spacing w:line="360" w:lineRule="auto"/>
        <w:jc w:val="center"/>
        <w:rPr>
          <w:b/>
          <w:bCs/>
          <w:sz w:val="28"/>
          <w:szCs w:val="28"/>
        </w:rPr>
      </w:pPr>
      <w:r w:rsidRPr="00EE020E">
        <w:rPr>
          <w:b/>
          <w:bCs/>
          <w:sz w:val="28"/>
          <w:szCs w:val="28"/>
        </w:rPr>
        <w:t xml:space="preserve">Figure </w:t>
      </w:r>
      <w:r>
        <w:rPr>
          <w:b/>
          <w:bCs/>
          <w:sz w:val="28"/>
          <w:szCs w:val="28"/>
        </w:rPr>
        <w:t>3</w:t>
      </w:r>
      <w:r w:rsidRPr="00EE020E">
        <w:rPr>
          <w:b/>
          <w:bCs/>
          <w:sz w:val="28"/>
          <w:szCs w:val="28"/>
        </w:rPr>
        <w:t>.</w:t>
      </w:r>
      <w:r>
        <w:rPr>
          <w:b/>
          <w:bCs/>
          <w:sz w:val="28"/>
          <w:szCs w:val="28"/>
        </w:rPr>
        <w:t>2</w:t>
      </w:r>
    </w:p>
    <w:p w:rsidR="00F37030" w:rsidRDefault="00F37030" w:rsidP="00F37030">
      <w:pPr>
        <w:autoSpaceDE w:val="0"/>
        <w:autoSpaceDN w:val="0"/>
        <w:adjustRightInd w:val="0"/>
        <w:spacing w:line="360" w:lineRule="auto"/>
        <w:jc w:val="center"/>
        <w:rPr>
          <w:b/>
          <w:bCs/>
          <w:sz w:val="28"/>
          <w:szCs w:val="28"/>
        </w:rPr>
      </w:pPr>
      <w:r>
        <w:rPr>
          <w:b/>
          <w:bCs/>
          <w:sz w:val="28"/>
          <w:szCs w:val="28"/>
        </w:rPr>
        <w:t xml:space="preserve">Plot of Residuals against Fitted Values for the Economic Growth Data </w:t>
      </w:r>
    </w:p>
    <w:p w:rsidR="007D5449" w:rsidRDefault="00E20E5B" w:rsidP="007D5449">
      <w:pPr>
        <w:autoSpaceDE w:val="0"/>
        <w:autoSpaceDN w:val="0"/>
        <w:adjustRightInd w:val="0"/>
        <w:spacing w:line="360" w:lineRule="auto"/>
        <w:jc w:val="center"/>
      </w:pPr>
      <w:r w:rsidRPr="00A758DE">
        <w:object w:dxaOrig="7142" w:dyaOrig="5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15pt;height:244.05pt" o:ole="">
            <v:imagedata r:id="rId8" o:title=""/>
          </v:shape>
          <o:OLEObject Type="Embed" ProgID="StaticEnhancedMetafile" ShapeID="_x0000_i1025" DrawAspect="Content" ObjectID="_1371188539" r:id="rId9"/>
        </w:object>
      </w:r>
    </w:p>
    <w:p w:rsidR="00F37030" w:rsidRDefault="00F37030" w:rsidP="00D52D34">
      <w:pPr>
        <w:autoSpaceDE w:val="0"/>
        <w:autoSpaceDN w:val="0"/>
        <w:adjustRightInd w:val="0"/>
        <w:spacing w:line="360" w:lineRule="auto"/>
        <w:ind w:firstLine="720"/>
        <w:jc w:val="both"/>
      </w:pPr>
      <w:r w:rsidRPr="00D60AA7">
        <w:t xml:space="preserve">Figure </w:t>
      </w:r>
      <w:r>
        <w:t>3.2 represents the plot of the studentized residual against the unstandardized predicted values. This plot shows that the spread of the studentized residuals is constant.</w:t>
      </w:r>
      <w:r w:rsidR="00D52D34" w:rsidRPr="00D52D34">
        <w:t xml:space="preserve"> </w:t>
      </w:r>
      <w:r w:rsidR="00D52D34">
        <w:t>This shows that the evidence of heteroscedasticity does not exist.</w:t>
      </w:r>
      <w:r>
        <w:t xml:space="preserve"> Only one residual is </w:t>
      </w:r>
      <w:r w:rsidR="00D52D34">
        <w:t xml:space="preserve">between </w:t>
      </w:r>
      <w:r>
        <w:t>-2</w:t>
      </w:r>
      <w:r w:rsidR="00D52D34">
        <w:t xml:space="preserve"> and -3</w:t>
      </w:r>
      <w:r>
        <w:t>.</w:t>
      </w:r>
      <w:r w:rsidR="00D52D34">
        <w:t xml:space="preserve"> This shows that residuals are normally distributed.</w:t>
      </w:r>
    </w:p>
    <w:p w:rsidR="00603D42" w:rsidRPr="00420FC3" w:rsidRDefault="00124DC3" w:rsidP="00603D42">
      <w:pPr>
        <w:autoSpaceDE w:val="0"/>
        <w:autoSpaceDN w:val="0"/>
        <w:adjustRightInd w:val="0"/>
        <w:spacing w:line="360" w:lineRule="auto"/>
        <w:jc w:val="center"/>
        <w:rPr>
          <w:b/>
          <w:bCs/>
          <w:sz w:val="22"/>
          <w:szCs w:val="22"/>
        </w:rPr>
      </w:pPr>
      <w:r>
        <w:rPr>
          <w:b/>
          <w:bCs/>
          <w:sz w:val="30"/>
          <w:szCs w:val="30"/>
        </w:rPr>
        <w:t>4</w:t>
      </w:r>
      <w:r w:rsidR="00603D42" w:rsidRPr="00420FC3">
        <w:rPr>
          <w:b/>
          <w:bCs/>
          <w:sz w:val="30"/>
          <w:szCs w:val="30"/>
        </w:rPr>
        <w:t>.</w:t>
      </w:r>
      <w:r w:rsidR="00603D42" w:rsidRPr="00420FC3">
        <w:rPr>
          <w:b/>
          <w:bCs/>
          <w:sz w:val="30"/>
          <w:szCs w:val="30"/>
        </w:rPr>
        <w:tab/>
      </w:r>
      <w:r>
        <w:rPr>
          <w:b/>
          <w:bCs/>
          <w:sz w:val="30"/>
          <w:szCs w:val="30"/>
        </w:rPr>
        <w:t xml:space="preserve">Summary and </w:t>
      </w:r>
      <w:r w:rsidR="00603D42">
        <w:rPr>
          <w:b/>
          <w:bCs/>
          <w:sz w:val="30"/>
          <w:szCs w:val="30"/>
        </w:rPr>
        <w:t>Conclusion</w:t>
      </w:r>
    </w:p>
    <w:p w:rsidR="00934CEF" w:rsidRDefault="008F0FE2" w:rsidP="00E55D0A">
      <w:pPr>
        <w:autoSpaceDE w:val="0"/>
        <w:autoSpaceDN w:val="0"/>
        <w:adjustRightInd w:val="0"/>
        <w:spacing w:line="360" w:lineRule="auto"/>
        <w:ind w:firstLine="720"/>
        <w:jc w:val="both"/>
      </w:pPr>
      <w:r>
        <w:t xml:space="preserve">This study has investigated the determinants of economic growth for the period 1961-2005 in the case of </w:t>
      </w:r>
      <w:smartTag w:uri="urn:schemas-microsoft-com:office:smarttags" w:element="country-region">
        <w:smartTag w:uri="urn:schemas-microsoft-com:office:smarttags" w:element="place">
          <w:r>
            <w:t>Pakistan</w:t>
          </w:r>
        </w:smartTag>
      </w:smartTag>
      <w:r>
        <w:t xml:space="preserve">. </w:t>
      </w:r>
      <w:r w:rsidR="002849C0">
        <w:t>After observing the scatter plot matrix and the correlations or</w:t>
      </w:r>
      <w:r w:rsidR="00691276">
        <w:t xml:space="preserve">dinary </w:t>
      </w:r>
      <w:r w:rsidR="001D65A5">
        <w:t>least square method of multiple-</w:t>
      </w:r>
      <w:r w:rsidR="00691276">
        <w:t>regression has been used for this purpose. The growth rate of GDP has been used as dependent variable</w:t>
      </w:r>
      <w:r w:rsidR="007A2692">
        <w:t xml:space="preserve"> as the representative of economic growth</w:t>
      </w:r>
      <w:r w:rsidR="00691276">
        <w:t>.</w:t>
      </w:r>
      <w:r w:rsidR="001E57AD">
        <w:t xml:space="preserve"> The study could not find any impact of inflation rate on economic growth.</w:t>
      </w:r>
      <w:r w:rsidR="00851689">
        <w:t xml:space="preserve"> </w:t>
      </w:r>
      <w:r w:rsidR="00EA6AB3">
        <w:t>T</w:t>
      </w:r>
      <w:r w:rsidR="00C20D5A">
        <w:t xml:space="preserve">he impact of growth rate of gross capital formation, growth rate of exports and domestic credit to private sector as a percentage of GDP </w:t>
      </w:r>
      <w:r w:rsidR="002B5245">
        <w:t>are</w:t>
      </w:r>
      <w:r w:rsidR="00C20D5A">
        <w:t xml:space="preserve"> found to be positive and statistically significant.</w:t>
      </w:r>
      <w:r w:rsidR="00EA6AB3">
        <w:t xml:space="preserve"> Yet, the effect of exchange </w:t>
      </w:r>
      <w:r w:rsidR="00EA6AB3">
        <w:lastRenderedPageBreak/>
        <w:t>rate on economic growth is found to be negative and statistically significant.</w:t>
      </w:r>
      <w:r w:rsidR="00E55D0A">
        <w:t xml:space="preserve"> </w:t>
      </w:r>
      <w:r w:rsidR="00934CEF">
        <w:t xml:space="preserve">According to the definition of exchange rate used in this study any increase in exchange rate represents the local currency depreciation. In this regard our results support the findings of Dollar (1992) who </w:t>
      </w:r>
      <w:r w:rsidR="00E55D0A">
        <w:t xml:space="preserve">also </w:t>
      </w:r>
      <w:r w:rsidR="00934CEF">
        <w:t xml:space="preserve">found the </w:t>
      </w:r>
      <w:r w:rsidR="00E55D0A">
        <w:t>negative impact of exchange rate depreciations on the economic growth in the case of 95 countries</w:t>
      </w:r>
      <w:r w:rsidR="00934CEF">
        <w:t xml:space="preserve">. Khan and Aftab (1995) found that the Marshall-Lerner stability condition was absent for the period 1983-1993 in the case of </w:t>
      </w:r>
      <w:smartTag w:uri="urn:schemas-microsoft-com:office:smarttags" w:element="country-region">
        <w:smartTag w:uri="urn:schemas-microsoft-com:office:smarttags" w:element="place">
          <w:r w:rsidR="00934CEF">
            <w:t>Pakistan</w:t>
          </w:r>
        </w:smartTag>
      </w:smartTag>
      <w:r w:rsidR="00934CEF">
        <w:t xml:space="preserve">. The absence of this condition shows that the demand for imports and exports of </w:t>
      </w:r>
      <w:smartTag w:uri="urn:schemas-microsoft-com:office:smarttags" w:element="country-region">
        <w:smartTag w:uri="urn:schemas-microsoft-com:office:smarttags" w:element="place">
          <w:r w:rsidR="00934CEF">
            <w:t>Pakistan</w:t>
          </w:r>
        </w:smartTag>
      </w:smartTag>
      <w:r w:rsidR="00934CEF">
        <w:t xml:space="preserve"> is less elastic. The less elastic demand for imports and exports of </w:t>
      </w:r>
      <w:smartTag w:uri="urn:schemas-microsoft-com:office:smarttags" w:element="country-region">
        <w:smartTag w:uri="urn:schemas-microsoft-com:office:smarttags" w:element="place">
          <w:r w:rsidR="00934CEF">
            <w:t>Pakistan</w:t>
          </w:r>
        </w:smartTag>
      </w:smartTag>
      <w:r w:rsidR="00934CEF">
        <w:t xml:space="preserve"> might be the reason of this negative effect. This situation suggests that monetary authority of </w:t>
      </w:r>
      <w:smartTag w:uri="urn:schemas-microsoft-com:office:smarttags" w:element="country-region">
        <w:smartTag w:uri="urn:schemas-microsoft-com:office:smarttags" w:element="place">
          <w:r w:rsidR="00934CEF">
            <w:t>Pakistan</w:t>
          </w:r>
        </w:smartTag>
      </w:smartTag>
      <w:r w:rsidR="00934CEF">
        <w:t xml:space="preserve"> should peg the exchange rate at the lower level.</w:t>
      </w:r>
    </w:p>
    <w:p w:rsidR="000023DD" w:rsidRDefault="000023DD" w:rsidP="004E4189">
      <w:pPr>
        <w:autoSpaceDE w:val="0"/>
        <w:autoSpaceDN w:val="0"/>
        <w:adjustRightInd w:val="0"/>
        <w:spacing w:line="360" w:lineRule="auto"/>
        <w:ind w:firstLine="720"/>
        <w:jc w:val="both"/>
      </w:pPr>
      <w:r>
        <w:t>The coefficients of all the other three statistically significant coefficients are positive as they were expected.</w:t>
      </w:r>
      <w:r w:rsidR="0042605B">
        <w:t xml:space="preserve"> </w:t>
      </w:r>
      <w:r w:rsidR="004E4189">
        <w:t xml:space="preserve">The impact of inflation on economic growth of </w:t>
      </w:r>
      <w:smartTag w:uri="urn:schemas-microsoft-com:office:smarttags" w:element="country-region">
        <w:smartTag w:uri="urn:schemas-microsoft-com:office:smarttags" w:element="place">
          <w:r w:rsidR="004E4189">
            <w:t>Pakistan</w:t>
          </w:r>
        </w:smartTag>
      </w:smartTag>
      <w:r w:rsidR="004E4189">
        <w:t xml:space="preserve"> is not statistically significant. This shows that on average inflation has been not a problem in </w:t>
      </w:r>
      <w:smartTag w:uri="urn:schemas-microsoft-com:office:smarttags" w:element="country-region">
        <w:smartTag w:uri="urn:schemas-microsoft-com:office:smarttags" w:element="place">
          <w:r w:rsidR="004E4189">
            <w:t>Pakistan</w:t>
          </w:r>
        </w:smartTag>
      </w:smartTag>
      <w:r w:rsidR="004E4189">
        <w:t xml:space="preserve"> during the period under study.</w:t>
      </w:r>
    </w:p>
    <w:p w:rsidR="00124DC3" w:rsidRDefault="0025737B" w:rsidP="00811CC9">
      <w:pPr>
        <w:autoSpaceDE w:val="0"/>
        <w:autoSpaceDN w:val="0"/>
        <w:adjustRightInd w:val="0"/>
        <w:spacing w:line="360" w:lineRule="auto"/>
        <w:ind w:firstLine="720"/>
        <w:jc w:val="both"/>
      </w:pPr>
      <w:r>
        <w:t xml:space="preserve">Positive and significant impact of exports’ growth on economic growth suggests that </w:t>
      </w:r>
      <w:smartTag w:uri="urn:schemas-microsoft-com:office:smarttags" w:element="country-region">
        <w:smartTag w:uri="urn:schemas-microsoft-com:office:smarttags" w:element="place">
          <w:r>
            <w:t>Pakistan</w:t>
          </w:r>
        </w:smartTag>
      </w:smartTag>
      <w:r>
        <w:t xml:space="preserve"> should focus on export-led growth.</w:t>
      </w:r>
      <w:r w:rsidR="00811CC9">
        <w:t xml:space="preserve"> Partial regression coefficients of growth of gross fixed capital formation and </w:t>
      </w:r>
      <w:r w:rsidR="002F7578">
        <w:t>domestic credit to private sector suggests that Pakistan should take some measures</w:t>
      </w:r>
      <w:r w:rsidR="00811CC9">
        <w:t xml:space="preserve"> </w:t>
      </w:r>
      <w:r w:rsidR="002F7578">
        <w:t>to enhance the levels of gross fixed capital formation and domestic credit to private sector to improve its economic growth rate.</w:t>
      </w:r>
    </w:p>
    <w:p w:rsidR="00CE1263" w:rsidRDefault="00A0512D" w:rsidP="00C20D5A">
      <w:pPr>
        <w:autoSpaceDE w:val="0"/>
        <w:autoSpaceDN w:val="0"/>
        <w:adjustRightInd w:val="0"/>
        <w:spacing w:line="360" w:lineRule="auto"/>
        <w:jc w:val="both"/>
      </w:pPr>
      <w:r>
        <w:t xml:space="preserve">Although this study </w:t>
      </w:r>
      <w:r w:rsidR="00E868AA">
        <w:t xml:space="preserve">has </w:t>
      </w:r>
      <w:r>
        <w:t xml:space="preserve">included many important determinants in the analysis on the basis of theoretical narrations, yet </w:t>
      </w:r>
      <w:r w:rsidR="00625004">
        <w:t xml:space="preserve">in future studies </w:t>
      </w:r>
      <w:r>
        <w:t>it would be useful to include some other variables in the analysis as well.</w:t>
      </w:r>
      <w:r w:rsidR="00E22B79">
        <w:t xml:space="preserve"> Inclusion of other variables e.g. technical change and human capital grow</w:t>
      </w:r>
      <w:r w:rsidR="00EA251C">
        <w:t>th etc may improve the value of</w:t>
      </w:r>
      <w:r>
        <w:t xml:space="preserve"> </w:t>
      </w:r>
      <w:r w:rsidR="00E22B79">
        <w:t>the coefficient of determination.</w:t>
      </w:r>
      <w:r w:rsidR="00625004">
        <w:t xml:space="preserve"> </w:t>
      </w:r>
    </w:p>
    <w:p w:rsidR="00D63BE1" w:rsidRDefault="00FC0AF7" w:rsidP="002B5D9D">
      <w:pPr>
        <w:tabs>
          <w:tab w:val="center" w:pos="5702"/>
        </w:tabs>
        <w:autoSpaceDE w:val="0"/>
        <w:autoSpaceDN w:val="0"/>
        <w:adjustRightInd w:val="0"/>
        <w:spacing w:line="360" w:lineRule="auto"/>
        <w:jc w:val="center"/>
        <w:rPr>
          <w:b/>
          <w:bCs/>
          <w:color w:val="000000"/>
          <w:sz w:val="30"/>
          <w:szCs w:val="30"/>
        </w:rPr>
      </w:pPr>
      <w:r w:rsidRPr="00FC0AF7">
        <w:rPr>
          <w:b/>
          <w:bCs/>
          <w:color w:val="000000"/>
          <w:sz w:val="30"/>
          <w:szCs w:val="30"/>
        </w:rPr>
        <w:t>References</w:t>
      </w:r>
    </w:p>
    <w:p w:rsidR="009963CE" w:rsidRPr="0097350F" w:rsidRDefault="009963CE" w:rsidP="001E5860">
      <w:pPr>
        <w:autoSpaceDE w:val="0"/>
        <w:autoSpaceDN w:val="0"/>
        <w:adjustRightInd w:val="0"/>
        <w:spacing w:line="360" w:lineRule="auto"/>
        <w:ind w:left="720" w:hanging="720"/>
        <w:jc w:val="both"/>
        <w:rPr>
          <w:color w:val="FF0000"/>
          <w:sz w:val="20"/>
          <w:szCs w:val="20"/>
        </w:rPr>
      </w:pPr>
    </w:p>
    <w:p w:rsidR="00DB767E" w:rsidRDefault="00DB767E" w:rsidP="001E5860">
      <w:pPr>
        <w:autoSpaceDE w:val="0"/>
        <w:autoSpaceDN w:val="0"/>
        <w:adjustRightInd w:val="0"/>
        <w:spacing w:line="360" w:lineRule="auto"/>
        <w:ind w:left="720" w:hanging="720"/>
        <w:jc w:val="both"/>
      </w:pPr>
      <w:r w:rsidRPr="00C53DEB">
        <w:t xml:space="preserve">Dollar, David (1992), “Outward-oriented Developing Countries Really Do Grow MoreRapidly: Evidence from 195 LDCs”, </w:t>
      </w:r>
      <w:r w:rsidRPr="00C53DEB">
        <w:rPr>
          <w:i/>
          <w:iCs/>
        </w:rPr>
        <w:t>Economic Development and Cultural Change</w:t>
      </w:r>
      <w:r w:rsidRPr="00C53DEB">
        <w:t>, 523-544</w:t>
      </w:r>
      <w:r w:rsidR="009963CE">
        <w:t>.</w:t>
      </w:r>
    </w:p>
    <w:p w:rsidR="00DB767E" w:rsidRDefault="00DB767E" w:rsidP="001E5860">
      <w:pPr>
        <w:autoSpaceDE w:val="0"/>
        <w:autoSpaceDN w:val="0"/>
        <w:adjustRightInd w:val="0"/>
        <w:spacing w:line="360" w:lineRule="auto"/>
        <w:ind w:left="720" w:hanging="720"/>
        <w:jc w:val="both"/>
      </w:pPr>
      <w:r w:rsidRPr="00C53DEB">
        <w:t>Khan, S. R. and S. Aftab (1995), “Devaluation and the Balance of Trade in Pakistan” Paper presented at the Eleventh Annual General Meeting and Conference of</w:t>
      </w:r>
      <w:r w:rsidRPr="00C53DEB">
        <w:rPr>
          <w:i/>
          <w:iCs/>
        </w:rPr>
        <w:t xml:space="preserve"> Pakistan Society of Development Economists,</w:t>
      </w:r>
      <w:r w:rsidRPr="00C53DEB">
        <w:t xml:space="preserve"> April 18-21, Islamabad.</w:t>
      </w:r>
    </w:p>
    <w:p w:rsidR="00DB767E" w:rsidRDefault="00DB767E" w:rsidP="001E5860">
      <w:pPr>
        <w:spacing w:line="360" w:lineRule="auto"/>
        <w:ind w:left="720" w:hanging="720"/>
        <w:jc w:val="both"/>
        <w:rPr>
          <w:i/>
          <w:iCs/>
        </w:rPr>
      </w:pPr>
      <w:r w:rsidRPr="00C53DEB">
        <w:t>Khan, Safdar Ullah (2006). “</w:t>
      </w:r>
      <w:r w:rsidRPr="00C53DEB">
        <w:rPr>
          <w:bCs/>
          <w:iCs/>
          <w:szCs w:val="34"/>
        </w:rPr>
        <w:t xml:space="preserve">Macro Determinants of Total Factor Productivity in </w:t>
      </w:r>
      <w:smartTag w:uri="urn:schemas-microsoft-com:office:smarttags" w:element="country-region">
        <w:smartTag w:uri="urn:schemas-microsoft-com:office:smarttags" w:element="place">
          <w:r w:rsidRPr="00C53DEB">
            <w:rPr>
              <w:bCs/>
              <w:iCs/>
              <w:szCs w:val="34"/>
            </w:rPr>
            <w:t>Pakistan</w:t>
          </w:r>
        </w:smartTag>
      </w:smartTag>
      <w:r w:rsidRPr="00C53DEB">
        <w:rPr>
          <w:bCs/>
          <w:iCs/>
          <w:szCs w:val="34"/>
        </w:rPr>
        <w:t>,”</w:t>
      </w:r>
      <w:r w:rsidRPr="00C53DEB">
        <w:rPr>
          <w:bCs/>
          <w:i/>
          <w:iCs/>
        </w:rPr>
        <w:t xml:space="preserve"> </w:t>
      </w:r>
      <w:r w:rsidRPr="00C53DEB">
        <w:rPr>
          <w:i/>
          <w:iCs/>
        </w:rPr>
        <w:t>SBP Research Bulletin Volume.2, Number. 2, 2006.</w:t>
      </w:r>
    </w:p>
    <w:p w:rsidR="00DB767E" w:rsidRPr="00C53DEB" w:rsidRDefault="00DB767E" w:rsidP="001E5860">
      <w:pPr>
        <w:autoSpaceDE w:val="0"/>
        <w:autoSpaceDN w:val="0"/>
        <w:adjustRightInd w:val="0"/>
        <w:spacing w:line="360" w:lineRule="auto"/>
        <w:ind w:left="720" w:hanging="720"/>
        <w:jc w:val="both"/>
        <w:rPr>
          <w:sz w:val="20"/>
          <w:szCs w:val="20"/>
        </w:rPr>
      </w:pPr>
      <w:r w:rsidRPr="00C53DEB">
        <w:t xml:space="preserve">Limam, Y. R. and Miller, S. M. (2004), “Explaining Economic Growth: Factor accumulation, Total Factor Productivity Growth, and Production Efficiency Improvement,” </w:t>
      </w:r>
      <w:smartTag w:uri="urn:schemas-microsoft-com:office:smarttags" w:element="place">
        <w:smartTag w:uri="urn:schemas-microsoft-com:office:smarttags" w:element="PlaceType">
          <w:r w:rsidRPr="00C53DEB">
            <w:rPr>
              <w:i/>
              <w:iCs/>
            </w:rPr>
            <w:t>University</w:t>
          </w:r>
        </w:smartTag>
        <w:r w:rsidRPr="00C53DEB">
          <w:rPr>
            <w:i/>
            <w:iCs/>
          </w:rPr>
          <w:t xml:space="preserve"> of </w:t>
        </w:r>
        <w:smartTag w:uri="urn:schemas-microsoft-com:office:smarttags" w:element="PlaceName">
          <w:r w:rsidRPr="00C53DEB">
            <w:rPr>
              <w:i/>
              <w:iCs/>
            </w:rPr>
            <w:t>Connecticut Working Paper</w:t>
          </w:r>
        </w:smartTag>
      </w:smartTag>
      <w:r w:rsidRPr="00C53DEB">
        <w:rPr>
          <w:i/>
          <w:iCs/>
        </w:rPr>
        <w:t>, 20.</w:t>
      </w:r>
    </w:p>
    <w:sectPr w:rsidR="00DB767E" w:rsidRPr="00C53DEB" w:rsidSect="00A309B1">
      <w:headerReference w:type="even" r:id="rId10"/>
      <w:headerReference w:type="default" r:id="rId11"/>
      <w:pgSz w:w="12240" w:h="15840"/>
      <w:pgMar w:top="1440" w:right="720" w:bottom="1440"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B53" w:rsidRDefault="00285B53">
      <w:r>
        <w:separator/>
      </w:r>
    </w:p>
  </w:endnote>
  <w:endnote w:type="continuationSeparator" w:id="1">
    <w:p w:rsidR="00285B53" w:rsidRDefault="00285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abic Transparent">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B53" w:rsidRDefault="00285B53">
      <w:r>
        <w:separator/>
      </w:r>
    </w:p>
  </w:footnote>
  <w:footnote w:type="continuationSeparator" w:id="1">
    <w:p w:rsidR="00285B53" w:rsidRDefault="00285B53">
      <w:r>
        <w:continuationSeparator/>
      </w:r>
    </w:p>
  </w:footnote>
  <w:footnote w:id="2">
    <w:p w:rsidR="008E368E" w:rsidRDefault="008E368E" w:rsidP="008E368E">
      <w:pPr>
        <w:pStyle w:val="FootnoteText"/>
      </w:pPr>
      <w:r>
        <w:rPr>
          <w:rStyle w:val="FootnoteReference"/>
        </w:rPr>
        <w:footnoteRef/>
      </w:r>
      <w:r>
        <w:t xml:space="preserve"> Calculated using the data from WDI mark 2007</w:t>
      </w:r>
    </w:p>
  </w:footnote>
  <w:footnote w:id="3">
    <w:p w:rsidR="008E368E" w:rsidRDefault="008E368E" w:rsidP="008E368E">
      <w:pPr>
        <w:pStyle w:val="FootnoteText"/>
      </w:pPr>
      <w:r>
        <w:rPr>
          <w:rStyle w:val="FootnoteReference"/>
        </w:rPr>
        <w:footnoteRef/>
      </w:r>
      <w:r>
        <w:t xml:space="preserve"> For further study see khan (2006)</w:t>
      </w:r>
    </w:p>
  </w:footnote>
  <w:footnote w:id="4">
    <w:p w:rsidR="008E368E" w:rsidRDefault="008E368E" w:rsidP="008E368E">
      <w:pPr>
        <w:pStyle w:val="FootnoteText"/>
        <w:rPr>
          <w:sz w:val="16"/>
          <w:szCs w:val="16"/>
        </w:rPr>
      </w:pPr>
      <w:r>
        <w:rPr>
          <w:rStyle w:val="FootnoteReference"/>
        </w:rPr>
        <w:footnoteRef/>
      </w:r>
      <w:r>
        <w:t xml:space="preserve"> For details see Limam and Miller (2004)</w:t>
      </w:r>
    </w:p>
  </w:footnote>
  <w:footnote w:id="5">
    <w:p w:rsidR="00F50368" w:rsidRPr="00F50368" w:rsidRDefault="00F50368" w:rsidP="00F50368">
      <w:pPr>
        <w:autoSpaceDE w:val="0"/>
        <w:autoSpaceDN w:val="0"/>
        <w:adjustRightInd w:val="0"/>
        <w:spacing w:line="360" w:lineRule="auto"/>
        <w:jc w:val="both"/>
        <w:rPr>
          <w:sz w:val="20"/>
          <w:szCs w:val="20"/>
        </w:rPr>
      </w:pPr>
      <w:r w:rsidRPr="00F50368">
        <w:rPr>
          <w:rStyle w:val="FootnoteReference"/>
          <w:sz w:val="20"/>
          <w:szCs w:val="20"/>
        </w:rPr>
        <w:footnoteRef/>
      </w:r>
      <w:r>
        <w:rPr>
          <w:sz w:val="20"/>
          <w:szCs w:val="20"/>
        </w:rPr>
        <w:t xml:space="preserve"> </w:t>
      </w:r>
      <w:r w:rsidR="00795566">
        <w:rPr>
          <w:sz w:val="20"/>
          <w:szCs w:val="20"/>
        </w:rPr>
        <w:t xml:space="preserve">Data from World Development Indicators have been collected through </w:t>
      </w:r>
      <w:r w:rsidR="003E2581">
        <w:rPr>
          <w:sz w:val="20"/>
          <w:szCs w:val="20"/>
        </w:rPr>
        <w:t>the link:</w:t>
      </w:r>
      <w:r w:rsidRPr="00F50368">
        <w:rPr>
          <w:sz w:val="20"/>
          <w:szCs w:val="20"/>
        </w:rPr>
        <w:t xml:space="preserve"> </w:t>
      </w:r>
      <w:hyperlink r:id="rId1" w:history="1">
        <w:r w:rsidRPr="00F50368">
          <w:rPr>
            <w:rStyle w:val="Hyperlink"/>
            <w:sz w:val="20"/>
            <w:szCs w:val="20"/>
          </w:rPr>
          <w:t>http://www.esds.ac.uk/international</w:t>
        </w:r>
      </w:hyperlink>
    </w:p>
    <w:p w:rsidR="00F50368" w:rsidRDefault="00F50368">
      <w:pPr>
        <w:pStyle w:val="FootnoteText"/>
      </w:pPr>
    </w:p>
  </w:footnote>
  <w:footnote w:id="6">
    <w:p w:rsidR="007D1CA1" w:rsidRDefault="007D1CA1" w:rsidP="007D1CA1">
      <w:pPr>
        <w:pStyle w:val="FootnoteText"/>
      </w:pPr>
      <w:r>
        <w:rPr>
          <w:rStyle w:val="FootnoteReference"/>
        </w:rPr>
        <w:footnoteRef/>
      </w:r>
      <w:r>
        <w:t xml:space="preserve"> The Definitions of last three independent variables correspond to the</w:t>
      </w:r>
      <w:r w:rsidRPr="00251B55">
        <w:rPr>
          <w:rFonts w:ascii="TimesNewRomanPS-BoldMT" w:hAnsi="TimesNewRomanPS-BoldMT" w:cs="TimesNewRomanPS-BoldMT"/>
        </w:rPr>
        <w:t xml:space="preserve"> International Financial Statistics</w:t>
      </w:r>
      <w:r>
        <w:rPr>
          <w:rFonts w:ascii="TimesNewRomanPS-BoldMT" w:hAnsi="TimesNewRomanPS-BoldMT" w:cs="TimesNewRomanPS-BoldMT"/>
        </w:rPr>
        <w:t xml:space="preserve"> of </w:t>
      </w:r>
      <w:r w:rsidRPr="00251B55">
        <w:rPr>
          <w:rFonts w:ascii="TimesNewRomanPS-BoldMT" w:hAnsi="TimesNewRomanPS-BoldMT" w:cs="TimesNewRomanPS-BoldMT"/>
        </w:rPr>
        <w:t>International Monetary Fund</w:t>
      </w:r>
      <w:r>
        <w:rPr>
          <w:rFonts w:ascii="TimesNewRomanPS-BoldMT" w:hAnsi="TimesNewRomanPS-BoldMT" w:cs="TimesNewRomanPS-BoldMT"/>
        </w:rPr>
        <w:t>.</w:t>
      </w:r>
    </w:p>
  </w:footnote>
  <w:footnote w:id="7">
    <w:p w:rsidR="008F7516" w:rsidRDefault="008F7516">
      <w:pPr>
        <w:pStyle w:val="FootnoteText"/>
      </w:pPr>
      <w:r>
        <w:rPr>
          <w:rStyle w:val="FootnoteReference"/>
        </w:rPr>
        <w:footnoteRef/>
      </w:r>
      <w:r>
        <w:t xml:space="preserve"> User Guide, World Development Indicators mark 2007</w:t>
      </w:r>
    </w:p>
  </w:footnote>
  <w:footnote w:id="8">
    <w:p w:rsidR="002C4998" w:rsidRDefault="002C4998" w:rsidP="00043FFD">
      <w:pPr>
        <w:pStyle w:val="FootnoteText"/>
        <w:jc w:val="both"/>
      </w:pPr>
      <w:r>
        <w:rPr>
          <w:rStyle w:val="FootnoteReference"/>
        </w:rPr>
        <w:footnoteRef/>
      </w:r>
      <w:r>
        <w:t xml:space="preserve"> The value of the </w:t>
      </w:r>
      <w:r w:rsidR="00102F33">
        <w:t xml:space="preserve">adjusted </w:t>
      </w:r>
      <w:r>
        <w:t xml:space="preserve">coefficient of determination is relatively low. Due to the institutional directions (selection of utmost six </w:t>
      </w:r>
      <w:r w:rsidR="00102F33">
        <w:t>variables) we could not include</w:t>
      </w:r>
      <w:r>
        <w:t xml:space="preserve"> some of the important variables</w:t>
      </w:r>
      <w:r w:rsidR="003A27B9">
        <w:t xml:space="preserve"> e.g. technical change and human capital growth</w:t>
      </w:r>
      <w:r>
        <w:t xml:space="preserve"> </w:t>
      </w:r>
      <w:r w:rsidR="003A27B9">
        <w:t xml:space="preserve">etc </w:t>
      </w:r>
      <w:r>
        <w:t xml:space="preserve">in our analysis which could be the reason of the small value of </w:t>
      </w:r>
      <w:r w:rsidR="00102F33">
        <w:t xml:space="preserve">adj. </w:t>
      </w:r>
      <w:r>
        <w:t>R</w:t>
      </w:r>
      <w:r w:rsidRPr="002C4998">
        <w:rPr>
          <w:vertAlign w:val="superscript"/>
        </w:rPr>
        <w:t>2</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B1" w:rsidRDefault="008F050C" w:rsidP="00A309B1">
    <w:pPr>
      <w:pStyle w:val="Header"/>
      <w:framePr w:wrap="around" w:vAnchor="text" w:hAnchor="margin" w:xAlign="center" w:y="1"/>
      <w:rPr>
        <w:rStyle w:val="PageNumber"/>
      </w:rPr>
    </w:pPr>
    <w:r>
      <w:rPr>
        <w:rStyle w:val="PageNumber"/>
      </w:rPr>
      <w:fldChar w:fldCharType="begin"/>
    </w:r>
    <w:r w:rsidR="00A309B1">
      <w:rPr>
        <w:rStyle w:val="PageNumber"/>
      </w:rPr>
      <w:instrText xml:space="preserve">PAGE  </w:instrText>
    </w:r>
    <w:r>
      <w:rPr>
        <w:rStyle w:val="PageNumber"/>
      </w:rPr>
      <w:fldChar w:fldCharType="end"/>
    </w:r>
  </w:p>
  <w:p w:rsidR="00A309B1" w:rsidRDefault="00A309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B1" w:rsidRDefault="008F050C" w:rsidP="00A309B1">
    <w:pPr>
      <w:pStyle w:val="Header"/>
      <w:framePr w:wrap="around" w:vAnchor="text" w:hAnchor="margin" w:xAlign="center" w:y="1"/>
      <w:rPr>
        <w:rStyle w:val="PageNumber"/>
      </w:rPr>
    </w:pPr>
    <w:r>
      <w:rPr>
        <w:rStyle w:val="PageNumber"/>
      </w:rPr>
      <w:fldChar w:fldCharType="begin"/>
    </w:r>
    <w:r w:rsidR="00A309B1">
      <w:rPr>
        <w:rStyle w:val="PageNumber"/>
      </w:rPr>
      <w:instrText xml:space="preserve">PAGE  </w:instrText>
    </w:r>
    <w:r>
      <w:rPr>
        <w:rStyle w:val="PageNumber"/>
      </w:rPr>
      <w:fldChar w:fldCharType="separate"/>
    </w:r>
    <w:r w:rsidR="00904E84">
      <w:rPr>
        <w:rStyle w:val="PageNumber"/>
        <w:noProof/>
      </w:rPr>
      <w:t>10</w:t>
    </w:r>
    <w:r>
      <w:rPr>
        <w:rStyle w:val="PageNumber"/>
      </w:rPr>
      <w:fldChar w:fldCharType="end"/>
    </w:r>
  </w:p>
  <w:p w:rsidR="00A309B1" w:rsidRDefault="00A309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C3CD8"/>
    <w:multiLevelType w:val="hybridMultilevel"/>
    <w:tmpl w:val="F36038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B7791D"/>
    <w:multiLevelType w:val="hybridMultilevel"/>
    <w:tmpl w:val="BCA801B4"/>
    <w:lvl w:ilvl="0" w:tplc="A8069F9C">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3395FE4"/>
    <w:multiLevelType w:val="hybridMultilevel"/>
    <w:tmpl w:val="E0B62D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40055A"/>
    <w:multiLevelType w:val="hybridMultilevel"/>
    <w:tmpl w:val="416C4FD0"/>
    <w:lvl w:ilvl="0" w:tplc="3D568EE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94F74"/>
    <w:multiLevelType w:val="hybridMultilevel"/>
    <w:tmpl w:val="C67642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F2440C0"/>
    <w:multiLevelType w:val="hybridMultilevel"/>
    <w:tmpl w:val="7848DFB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2B15991"/>
    <w:multiLevelType w:val="hybridMultilevel"/>
    <w:tmpl w:val="A57032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F7E5381"/>
    <w:multiLevelType w:val="hybridMultilevel"/>
    <w:tmpl w:val="64B86302"/>
    <w:lvl w:ilvl="0" w:tplc="CF28EFF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20312B"/>
    <w:rsid w:val="000023DD"/>
    <w:rsid w:val="00002D2E"/>
    <w:rsid w:val="00003C7A"/>
    <w:rsid w:val="00005355"/>
    <w:rsid w:val="000106DA"/>
    <w:rsid w:val="00011284"/>
    <w:rsid w:val="00016862"/>
    <w:rsid w:val="000205BB"/>
    <w:rsid w:val="0002158E"/>
    <w:rsid w:val="000218C1"/>
    <w:rsid w:val="000320CC"/>
    <w:rsid w:val="0003697D"/>
    <w:rsid w:val="00036A50"/>
    <w:rsid w:val="000414DB"/>
    <w:rsid w:val="00043FFD"/>
    <w:rsid w:val="000440CB"/>
    <w:rsid w:val="000521A8"/>
    <w:rsid w:val="0005609F"/>
    <w:rsid w:val="00060A51"/>
    <w:rsid w:val="000632C6"/>
    <w:rsid w:val="000651BF"/>
    <w:rsid w:val="0006599F"/>
    <w:rsid w:val="0007649C"/>
    <w:rsid w:val="0008622C"/>
    <w:rsid w:val="0008775B"/>
    <w:rsid w:val="00090357"/>
    <w:rsid w:val="00090FC1"/>
    <w:rsid w:val="000933B0"/>
    <w:rsid w:val="00093DC2"/>
    <w:rsid w:val="00094D2B"/>
    <w:rsid w:val="000A3B07"/>
    <w:rsid w:val="000A45C5"/>
    <w:rsid w:val="000A476B"/>
    <w:rsid w:val="000A4C1C"/>
    <w:rsid w:val="000B1076"/>
    <w:rsid w:val="000B595D"/>
    <w:rsid w:val="000B64CA"/>
    <w:rsid w:val="000C0209"/>
    <w:rsid w:val="000C0EB5"/>
    <w:rsid w:val="000C46CC"/>
    <w:rsid w:val="000D0B7A"/>
    <w:rsid w:val="000D13FC"/>
    <w:rsid w:val="000D2E6D"/>
    <w:rsid w:val="000D3FCE"/>
    <w:rsid w:val="000E021B"/>
    <w:rsid w:val="000E0F4B"/>
    <w:rsid w:val="000E4FA6"/>
    <w:rsid w:val="000E5375"/>
    <w:rsid w:val="000E7179"/>
    <w:rsid w:val="000F1204"/>
    <w:rsid w:val="000F1E84"/>
    <w:rsid w:val="000F45AB"/>
    <w:rsid w:val="000F58D5"/>
    <w:rsid w:val="00102F33"/>
    <w:rsid w:val="00105556"/>
    <w:rsid w:val="00107941"/>
    <w:rsid w:val="00110E83"/>
    <w:rsid w:val="001138BE"/>
    <w:rsid w:val="00114C9F"/>
    <w:rsid w:val="0011655E"/>
    <w:rsid w:val="0012450F"/>
    <w:rsid w:val="00124A6D"/>
    <w:rsid w:val="00124DC3"/>
    <w:rsid w:val="00132D04"/>
    <w:rsid w:val="00133151"/>
    <w:rsid w:val="00133634"/>
    <w:rsid w:val="0013681F"/>
    <w:rsid w:val="00140EC6"/>
    <w:rsid w:val="00150700"/>
    <w:rsid w:val="001574F6"/>
    <w:rsid w:val="00167B3D"/>
    <w:rsid w:val="00171EFB"/>
    <w:rsid w:val="001721BC"/>
    <w:rsid w:val="00174D50"/>
    <w:rsid w:val="00184861"/>
    <w:rsid w:val="00191972"/>
    <w:rsid w:val="001919F2"/>
    <w:rsid w:val="00195516"/>
    <w:rsid w:val="001A10CF"/>
    <w:rsid w:val="001A1C51"/>
    <w:rsid w:val="001A42D9"/>
    <w:rsid w:val="001B42E6"/>
    <w:rsid w:val="001C248B"/>
    <w:rsid w:val="001C4C2C"/>
    <w:rsid w:val="001C6D6E"/>
    <w:rsid w:val="001C7063"/>
    <w:rsid w:val="001D45FB"/>
    <w:rsid w:val="001D47B5"/>
    <w:rsid w:val="001D64DF"/>
    <w:rsid w:val="001D65A5"/>
    <w:rsid w:val="001D6845"/>
    <w:rsid w:val="001E4E5F"/>
    <w:rsid w:val="001E57AD"/>
    <w:rsid w:val="001E5860"/>
    <w:rsid w:val="001F727F"/>
    <w:rsid w:val="00201D3E"/>
    <w:rsid w:val="0020312B"/>
    <w:rsid w:val="00203993"/>
    <w:rsid w:val="002059F1"/>
    <w:rsid w:val="0021270B"/>
    <w:rsid w:val="0021485A"/>
    <w:rsid w:val="00225887"/>
    <w:rsid w:val="002261DC"/>
    <w:rsid w:val="002272E9"/>
    <w:rsid w:val="0023170A"/>
    <w:rsid w:val="00232ACF"/>
    <w:rsid w:val="00236C68"/>
    <w:rsid w:val="00245A8F"/>
    <w:rsid w:val="00250131"/>
    <w:rsid w:val="0025081C"/>
    <w:rsid w:val="00251606"/>
    <w:rsid w:val="00251B55"/>
    <w:rsid w:val="0025737B"/>
    <w:rsid w:val="002627CD"/>
    <w:rsid w:val="0026371B"/>
    <w:rsid w:val="00263872"/>
    <w:rsid w:val="0027012F"/>
    <w:rsid w:val="00270520"/>
    <w:rsid w:val="00274FFC"/>
    <w:rsid w:val="0027654F"/>
    <w:rsid w:val="00283B0A"/>
    <w:rsid w:val="002849C0"/>
    <w:rsid w:val="002853C6"/>
    <w:rsid w:val="00285B53"/>
    <w:rsid w:val="00291B23"/>
    <w:rsid w:val="002945F9"/>
    <w:rsid w:val="002A725E"/>
    <w:rsid w:val="002B0AFC"/>
    <w:rsid w:val="002B0E91"/>
    <w:rsid w:val="002B2C8E"/>
    <w:rsid w:val="002B2CF1"/>
    <w:rsid w:val="002B39B2"/>
    <w:rsid w:val="002B5245"/>
    <w:rsid w:val="002B5D9D"/>
    <w:rsid w:val="002C0672"/>
    <w:rsid w:val="002C4998"/>
    <w:rsid w:val="002D03D8"/>
    <w:rsid w:val="002D110A"/>
    <w:rsid w:val="002D2CB5"/>
    <w:rsid w:val="002D4483"/>
    <w:rsid w:val="002F6AD7"/>
    <w:rsid w:val="002F7408"/>
    <w:rsid w:val="002F7578"/>
    <w:rsid w:val="0030093A"/>
    <w:rsid w:val="00304782"/>
    <w:rsid w:val="00304CF5"/>
    <w:rsid w:val="003051AF"/>
    <w:rsid w:val="00305BA0"/>
    <w:rsid w:val="003076AC"/>
    <w:rsid w:val="003115D9"/>
    <w:rsid w:val="0031203D"/>
    <w:rsid w:val="00316FFD"/>
    <w:rsid w:val="00331F92"/>
    <w:rsid w:val="003351BC"/>
    <w:rsid w:val="00337A47"/>
    <w:rsid w:val="003405F0"/>
    <w:rsid w:val="003431BA"/>
    <w:rsid w:val="00346289"/>
    <w:rsid w:val="003527D3"/>
    <w:rsid w:val="003555DC"/>
    <w:rsid w:val="00355DE6"/>
    <w:rsid w:val="00357C17"/>
    <w:rsid w:val="00362B25"/>
    <w:rsid w:val="00362F0E"/>
    <w:rsid w:val="00366289"/>
    <w:rsid w:val="00367BDC"/>
    <w:rsid w:val="0037181C"/>
    <w:rsid w:val="00372585"/>
    <w:rsid w:val="003734A0"/>
    <w:rsid w:val="003857E8"/>
    <w:rsid w:val="00386741"/>
    <w:rsid w:val="0039130A"/>
    <w:rsid w:val="00393CA3"/>
    <w:rsid w:val="00396CAC"/>
    <w:rsid w:val="003A27B9"/>
    <w:rsid w:val="003A2EEF"/>
    <w:rsid w:val="003A599F"/>
    <w:rsid w:val="003A6598"/>
    <w:rsid w:val="003A68C5"/>
    <w:rsid w:val="003A7587"/>
    <w:rsid w:val="003B0BF8"/>
    <w:rsid w:val="003B1E55"/>
    <w:rsid w:val="003B481F"/>
    <w:rsid w:val="003B5FBE"/>
    <w:rsid w:val="003B6609"/>
    <w:rsid w:val="003B68BE"/>
    <w:rsid w:val="003B7987"/>
    <w:rsid w:val="003B7AAD"/>
    <w:rsid w:val="003B7F59"/>
    <w:rsid w:val="003C5132"/>
    <w:rsid w:val="003C76A3"/>
    <w:rsid w:val="003D40CE"/>
    <w:rsid w:val="003D48A2"/>
    <w:rsid w:val="003D4A6B"/>
    <w:rsid w:val="003D55A8"/>
    <w:rsid w:val="003D6006"/>
    <w:rsid w:val="003E2581"/>
    <w:rsid w:val="003F1BA6"/>
    <w:rsid w:val="003F2D31"/>
    <w:rsid w:val="003F3A4C"/>
    <w:rsid w:val="003F4D5B"/>
    <w:rsid w:val="003F5C14"/>
    <w:rsid w:val="00400E69"/>
    <w:rsid w:val="00403ACE"/>
    <w:rsid w:val="00403F0B"/>
    <w:rsid w:val="004101F8"/>
    <w:rsid w:val="00410A45"/>
    <w:rsid w:val="004168E3"/>
    <w:rsid w:val="004202CB"/>
    <w:rsid w:val="00420FC3"/>
    <w:rsid w:val="0042191A"/>
    <w:rsid w:val="004226F1"/>
    <w:rsid w:val="0042605B"/>
    <w:rsid w:val="00426889"/>
    <w:rsid w:val="00432C6C"/>
    <w:rsid w:val="00432CFF"/>
    <w:rsid w:val="00440FF9"/>
    <w:rsid w:val="00442836"/>
    <w:rsid w:val="00450A8D"/>
    <w:rsid w:val="00455361"/>
    <w:rsid w:val="00474B55"/>
    <w:rsid w:val="0047686A"/>
    <w:rsid w:val="0048151F"/>
    <w:rsid w:val="00481DCF"/>
    <w:rsid w:val="00482360"/>
    <w:rsid w:val="00483FC7"/>
    <w:rsid w:val="00497A50"/>
    <w:rsid w:val="004A1091"/>
    <w:rsid w:val="004A3DA0"/>
    <w:rsid w:val="004A572C"/>
    <w:rsid w:val="004A5997"/>
    <w:rsid w:val="004A63D1"/>
    <w:rsid w:val="004B59DB"/>
    <w:rsid w:val="004C6669"/>
    <w:rsid w:val="004D022E"/>
    <w:rsid w:val="004D2EAB"/>
    <w:rsid w:val="004D48C3"/>
    <w:rsid w:val="004D5121"/>
    <w:rsid w:val="004E4078"/>
    <w:rsid w:val="004E4189"/>
    <w:rsid w:val="004E64FC"/>
    <w:rsid w:val="004F01F2"/>
    <w:rsid w:val="004F1ECA"/>
    <w:rsid w:val="004F556C"/>
    <w:rsid w:val="005026F6"/>
    <w:rsid w:val="0051223E"/>
    <w:rsid w:val="00521867"/>
    <w:rsid w:val="00524093"/>
    <w:rsid w:val="00534F56"/>
    <w:rsid w:val="00536818"/>
    <w:rsid w:val="005442CF"/>
    <w:rsid w:val="0055311F"/>
    <w:rsid w:val="00563FC5"/>
    <w:rsid w:val="00571C08"/>
    <w:rsid w:val="00575865"/>
    <w:rsid w:val="00576E9C"/>
    <w:rsid w:val="00577452"/>
    <w:rsid w:val="00577C1A"/>
    <w:rsid w:val="0058223E"/>
    <w:rsid w:val="00592CDE"/>
    <w:rsid w:val="005931B0"/>
    <w:rsid w:val="00593369"/>
    <w:rsid w:val="00596BB5"/>
    <w:rsid w:val="005A02AB"/>
    <w:rsid w:val="005A2BC0"/>
    <w:rsid w:val="005A63FE"/>
    <w:rsid w:val="005B0C34"/>
    <w:rsid w:val="005B0FFC"/>
    <w:rsid w:val="005B424F"/>
    <w:rsid w:val="005C208B"/>
    <w:rsid w:val="005C3A7D"/>
    <w:rsid w:val="005E0B53"/>
    <w:rsid w:val="005E4219"/>
    <w:rsid w:val="005E5A41"/>
    <w:rsid w:val="005F1625"/>
    <w:rsid w:val="005F3DCC"/>
    <w:rsid w:val="005F6D91"/>
    <w:rsid w:val="005F7F43"/>
    <w:rsid w:val="0060093B"/>
    <w:rsid w:val="0060148C"/>
    <w:rsid w:val="0060209B"/>
    <w:rsid w:val="00603D42"/>
    <w:rsid w:val="006060D5"/>
    <w:rsid w:val="006151C4"/>
    <w:rsid w:val="0061645B"/>
    <w:rsid w:val="006207CD"/>
    <w:rsid w:val="00621AAC"/>
    <w:rsid w:val="00621D8C"/>
    <w:rsid w:val="00624A67"/>
    <w:rsid w:val="00625004"/>
    <w:rsid w:val="00625936"/>
    <w:rsid w:val="00626A62"/>
    <w:rsid w:val="00626AE1"/>
    <w:rsid w:val="006276EE"/>
    <w:rsid w:val="0063488D"/>
    <w:rsid w:val="006361B0"/>
    <w:rsid w:val="00641FB8"/>
    <w:rsid w:val="00656D09"/>
    <w:rsid w:val="00663DF5"/>
    <w:rsid w:val="00664289"/>
    <w:rsid w:val="00674E1F"/>
    <w:rsid w:val="00675FC6"/>
    <w:rsid w:val="006818F8"/>
    <w:rsid w:val="006820E2"/>
    <w:rsid w:val="006850AE"/>
    <w:rsid w:val="006872D6"/>
    <w:rsid w:val="00691276"/>
    <w:rsid w:val="00692545"/>
    <w:rsid w:val="00692A69"/>
    <w:rsid w:val="006937DF"/>
    <w:rsid w:val="006959DE"/>
    <w:rsid w:val="006A1FC0"/>
    <w:rsid w:val="006A2A80"/>
    <w:rsid w:val="006A38F5"/>
    <w:rsid w:val="006A4CA0"/>
    <w:rsid w:val="006A5EEA"/>
    <w:rsid w:val="006A68B8"/>
    <w:rsid w:val="006A7578"/>
    <w:rsid w:val="006B21B8"/>
    <w:rsid w:val="006B36F6"/>
    <w:rsid w:val="006B3D14"/>
    <w:rsid w:val="006C790C"/>
    <w:rsid w:val="006D0CBC"/>
    <w:rsid w:val="006D6459"/>
    <w:rsid w:val="006D7A03"/>
    <w:rsid w:val="006E0C80"/>
    <w:rsid w:val="006E14C5"/>
    <w:rsid w:val="006E151E"/>
    <w:rsid w:val="006E4A30"/>
    <w:rsid w:val="006F3DB8"/>
    <w:rsid w:val="00701D5F"/>
    <w:rsid w:val="00702E1F"/>
    <w:rsid w:val="0070765F"/>
    <w:rsid w:val="00712BC8"/>
    <w:rsid w:val="007168B3"/>
    <w:rsid w:val="00720DD4"/>
    <w:rsid w:val="00722ABC"/>
    <w:rsid w:val="00724C9A"/>
    <w:rsid w:val="00724C9D"/>
    <w:rsid w:val="00726098"/>
    <w:rsid w:val="00730498"/>
    <w:rsid w:val="00731E9F"/>
    <w:rsid w:val="007343D2"/>
    <w:rsid w:val="007472E0"/>
    <w:rsid w:val="00750147"/>
    <w:rsid w:val="00756794"/>
    <w:rsid w:val="00756EE6"/>
    <w:rsid w:val="007604D0"/>
    <w:rsid w:val="00763984"/>
    <w:rsid w:val="007661A9"/>
    <w:rsid w:val="00766873"/>
    <w:rsid w:val="00766C17"/>
    <w:rsid w:val="00767403"/>
    <w:rsid w:val="0077155D"/>
    <w:rsid w:val="00775E95"/>
    <w:rsid w:val="00784877"/>
    <w:rsid w:val="00787AE3"/>
    <w:rsid w:val="0079087B"/>
    <w:rsid w:val="0079191F"/>
    <w:rsid w:val="00795566"/>
    <w:rsid w:val="007A0814"/>
    <w:rsid w:val="007A1839"/>
    <w:rsid w:val="007A2692"/>
    <w:rsid w:val="007A3F1C"/>
    <w:rsid w:val="007A6D72"/>
    <w:rsid w:val="007B028D"/>
    <w:rsid w:val="007B1364"/>
    <w:rsid w:val="007B48A7"/>
    <w:rsid w:val="007B5874"/>
    <w:rsid w:val="007B6123"/>
    <w:rsid w:val="007B7890"/>
    <w:rsid w:val="007C1C93"/>
    <w:rsid w:val="007C2240"/>
    <w:rsid w:val="007C4991"/>
    <w:rsid w:val="007C69E7"/>
    <w:rsid w:val="007C7BA0"/>
    <w:rsid w:val="007D1CA1"/>
    <w:rsid w:val="007D2491"/>
    <w:rsid w:val="007D5449"/>
    <w:rsid w:val="007D5910"/>
    <w:rsid w:val="007E72FD"/>
    <w:rsid w:val="007F11AA"/>
    <w:rsid w:val="007F3823"/>
    <w:rsid w:val="0080390E"/>
    <w:rsid w:val="00811CC9"/>
    <w:rsid w:val="00813F36"/>
    <w:rsid w:val="00840F02"/>
    <w:rsid w:val="00841DF6"/>
    <w:rsid w:val="0084339C"/>
    <w:rsid w:val="008514B4"/>
    <w:rsid w:val="00851689"/>
    <w:rsid w:val="00853F32"/>
    <w:rsid w:val="00854780"/>
    <w:rsid w:val="008573E7"/>
    <w:rsid w:val="0086268A"/>
    <w:rsid w:val="00863E4D"/>
    <w:rsid w:val="00865A38"/>
    <w:rsid w:val="00870A0E"/>
    <w:rsid w:val="00871FA9"/>
    <w:rsid w:val="00874A75"/>
    <w:rsid w:val="00880825"/>
    <w:rsid w:val="00882EB8"/>
    <w:rsid w:val="00887D5B"/>
    <w:rsid w:val="008944D3"/>
    <w:rsid w:val="00896081"/>
    <w:rsid w:val="00896A39"/>
    <w:rsid w:val="00897563"/>
    <w:rsid w:val="008A4363"/>
    <w:rsid w:val="008B2E08"/>
    <w:rsid w:val="008B475E"/>
    <w:rsid w:val="008B527D"/>
    <w:rsid w:val="008D0C83"/>
    <w:rsid w:val="008D2427"/>
    <w:rsid w:val="008D541F"/>
    <w:rsid w:val="008E0279"/>
    <w:rsid w:val="008E368E"/>
    <w:rsid w:val="008E518C"/>
    <w:rsid w:val="008E5DDF"/>
    <w:rsid w:val="008E6CA0"/>
    <w:rsid w:val="008E742B"/>
    <w:rsid w:val="008F050C"/>
    <w:rsid w:val="008F0FE2"/>
    <w:rsid w:val="008F1D24"/>
    <w:rsid w:val="008F2100"/>
    <w:rsid w:val="008F2F30"/>
    <w:rsid w:val="008F7399"/>
    <w:rsid w:val="008F7516"/>
    <w:rsid w:val="00900B07"/>
    <w:rsid w:val="009018AF"/>
    <w:rsid w:val="00901E17"/>
    <w:rsid w:val="00901F42"/>
    <w:rsid w:val="009025B1"/>
    <w:rsid w:val="009031C6"/>
    <w:rsid w:val="0090461C"/>
    <w:rsid w:val="00904E84"/>
    <w:rsid w:val="00911AF8"/>
    <w:rsid w:val="0092734F"/>
    <w:rsid w:val="009304CB"/>
    <w:rsid w:val="00934CB8"/>
    <w:rsid w:val="00934CEF"/>
    <w:rsid w:val="00936984"/>
    <w:rsid w:val="009406E6"/>
    <w:rsid w:val="0094073B"/>
    <w:rsid w:val="00943173"/>
    <w:rsid w:val="0094397E"/>
    <w:rsid w:val="0094579A"/>
    <w:rsid w:val="00950275"/>
    <w:rsid w:val="00952474"/>
    <w:rsid w:val="00952A3D"/>
    <w:rsid w:val="00953172"/>
    <w:rsid w:val="00953579"/>
    <w:rsid w:val="00962499"/>
    <w:rsid w:val="009631B8"/>
    <w:rsid w:val="009672F0"/>
    <w:rsid w:val="009700AF"/>
    <w:rsid w:val="00970D07"/>
    <w:rsid w:val="0097350F"/>
    <w:rsid w:val="00975E52"/>
    <w:rsid w:val="009806EE"/>
    <w:rsid w:val="00980A70"/>
    <w:rsid w:val="00981B49"/>
    <w:rsid w:val="00987840"/>
    <w:rsid w:val="00993697"/>
    <w:rsid w:val="00993701"/>
    <w:rsid w:val="00994EE6"/>
    <w:rsid w:val="009963CE"/>
    <w:rsid w:val="009973B7"/>
    <w:rsid w:val="009A18A4"/>
    <w:rsid w:val="009A41D9"/>
    <w:rsid w:val="009A473F"/>
    <w:rsid w:val="009A49AD"/>
    <w:rsid w:val="009B0B0E"/>
    <w:rsid w:val="009B0F07"/>
    <w:rsid w:val="009B28FE"/>
    <w:rsid w:val="009B648D"/>
    <w:rsid w:val="009B7787"/>
    <w:rsid w:val="009C1B62"/>
    <w:rsid w:val="009C7AD9"/>
    <w:rsid w:val="009D611E"/>
    <w:rsid w:val="009E2357"/>
    <w:rsid w:val="009E414A"/>
    <w:rsid w:val="009E7249"/>
    <w:rsid w:val="009F4622"/>
    <w:rsid w:val="009F683B"/>
    <w:rsid w:val="00A030DC"/>
    <w:rsid w:val="00A0512D"/>
    <w:rsid w:val="00A05415"/>
    <w:rsid w:val="00A15E7E"/>
    <w:rsid w:val="00A16E05"/>
    <w:rsid w:val="00A21A2B"/>
    <w:rsid w:val="00A26E7B"/>
    <w:rsid w:val="00A3059C"/>
    <w:rsid w:val="00A309B1"/>
    <w:rsid w:val="00A322AF"/>
    <w:rsid w:val="00A328CB"/>
    <w:rsid w:val="00A344E9"/>
    <w:rsid w:val="00A42FDB"/>
    <w:rsid w:val="00A522DC"/>
    <w:rsid w:val="00A54FE2"/>
    <w:rsid w:val="00A60542"/>
    <w:rsid w:val="00A608C5"/>
    <w:rsid w:val="00A6339C"/>
    <w:rsid w:val="00A719A1"/>
    <w:rsid w:val="00A731C7"/>
    <w:rsid w:val="00A73CFF"/>
    <w:rsid w:val="00A758DE"/>
    <w:rsid w:val="00A76D4C"/>
    <w:rsid w:val="00A81CB7"/>
    <w:rsid w:val="00A82ADC"/>
    <w:rsid w:val="00A83BA2"/>
    <w:rsid w:val="00A849D4"/>
    <w:rsid w:val="00A87B7E"/>
    <w:rsid w:val="00A95805"/>
    <w:rsid w:val="00A95ACF"/>
    <w:rsid w:val="00AA1ED3"/>
    <w:rsid w:val="00AA3E5E"/>
    <w:rsid w:val="00AA4FC1"/>
    <w:rsid w:val="00AC371B"/>
    <w:rsid w:val="00AC504B"/>
    <w:rsid w:val="00AC5FE2"/>
    <w:rsid w:val="00AD6DB7"/>
    <w:rsid w:val="00AE3531"/>
    <w:rsid w:val="00AF5B39"/>
    <w:rsid w:val="00B01718"/>
    <w:rsid w:val="00B12DFD"/>
    <w:rsid w:val="00B214AB"/>
    <w:rsid w:val="00B21686"/>
    <w:rsid w:val="00B266CF"/>
    <w:rsid w:val="00B268D6"/>
    <w:rsid w:val="00B27CBA"/>
    <w:rsid w:val="00B30322"/>
    <w:rsid w:val="00B354AD"/>
    <w:rsid w:val="00B43609"/>
    <w:rsid w:val="00B471F9"/>
    <w:rsid w:val="00B47A9F"/>
    <w:rsid w:val="00B56CDD"/>
    <w:rsid w:val="00B66DC6"/>
    <w:rsid w:val="00B71577"/>
    <w:rsid w:val="00B72261"/>
    <w:rsid w:val="00B80B34"/>
    <w:rsid w:val="00B80E43"/>
    <w:rsid w:val="00B817BB"/>
    <w:rsid w:val="00B8735F"/>
    <w:rsid w:val="00B87CD5"/>
    <w:rsid w:val="00B87FAB"/>
    <w:rsid w:val="00B93D81"/>
    <w:rsid w:val="00BA2CE0"/>
    <w:rsid w:val="00BB725E"/>
    <w:rsid w:val="00BC79D2"/>
    <w:rsid w:val="00BD0AEA"/>
    <w:rsid w:val="00BD309F"/>
    <w:rsid w:val="00BD5B26"/>
    <w:rsid w:val="00BD7566"/>
    <w:rsid w:val="00BE04F3"/>
    <w:rsid w:val="00BE367B"/>
    <w:rsid w:val="00BE3D59"/>
    <w:rsid w:val="00BE6387"/>
    <w:rsid w:val="00BE66D3"/>
    <w:rsid w:val="00BE7D54"/>
    <w:rsid w:val="00BF4AE0"/>
    <w:rsid w:val="00C028A2"/>
    <w:rsid w:val="00C03727"/>
    <w:rsid w:val="00C04F68"/>
    <w:rsid w:val="00C14660"/>
    <w:rsid w:val="00C20C52"/>
    <w:rsid w:val="00C20D5A"/>
    <w:rsid w:val="00C21249"/>
    <w:rsid w:val="00C24D2C"/>
    <w:rsid w:val="00C303B6"/>
    <w:rsid w:val="00C33623"/>
    <w:rsid w:val="00C35684"/>
    <w:rsid w:val="00C3696D"/>
    <w:rsid w:val="00C3768E"/>
    <w:rsid w:val="00C40FBE"/>
    <w:rsid w:val="00C53DEB"/>
    <w:rsid w:val="00C6468A"/>
    <w:rsid w:val="00C658FB"/>
    <w:rsid w:val="00C67087"/>
    <w:rsid w:val="00C67B5C"/>
    <w:rsid w:val="00C67D6A"/>
    <w:rsid w:val="00C70AE8"/>
    <w:rsid w:val="00C7322C"/>
    <w:rsid w:val="00C73C3C"/>
    <w:rsid w:val="00C8221B"/>
    <w:rsid w:val="00C82EA5"/>
    <w:rsid w:val="00C8378D"/>
    <w:rsid w:val="00C875A3"/>
    <w:rsid w:val="00C93C2E"/>
    <w:rsid w:val="00C96FB4"/>
    <w:rsid w:val="00CB09A8"/>
    <w:rsid w:val="00CB3633"/>
    <w:rsid w:val="00CB4933"/>
    <w:rsid w:val="00CB6659"/>
    <w:rsid w:val="00CC20CE"/>
    <w:rsid w:val="00CC21B8"/>
    <w:rsid w:val="00CC4F9F"/>
    <w:rsid w:val="00CC7F4F"/>
    <w:rsid w:val="00CD52CC"/>
    <w:rsid w:val="00CE1263"/>
    <w:rsid w:val="00CF341C"/>
    <w:rsid w:val="00CF37D9"/>
    <w:rsid w:val="00D00DF6"/>
    <w:rsid w:val="00D12151"/>
    <w:rsid w:val="00D17773"/>
    <w:rsid w:val="00D202C7"/>
    <w:rsid w:val="00D21FA8"/>
    <w:rsid w:val="00D24602"/>
    <w:rsid w:val="00D258F0"/>
    <w:rsid w:val="00D27952"/>
    <w:rsid w:val="00D3203D"/>
    <w:rsid w:val="00D320D7"/>
    <w:rsid w:val="00D32DBB"/>
    <w:rsid w:val="00D347AC"/>
    <w:rsid w:val="00D37EB7"/>
    <w:rsid w:val="00D44DCD"/>
    <w:rsid w:val="00D52D34"/>
    <w:rsid w:val="00D55B5A"/>
    <w:rsid w:val="00D60AA7"/>
    <w:rsid w:val="00D6125B"/>
    <w:rsid w:val="00D63BE1"/>
    <w:rsid w:val="00D66321"/>
    <w:rsid w:val="00D71581"/>
    <w:rsid w:val="00D71CFD"/>
    <w:rsid w:val="00D733A3"/>
    <w:rsid w:val="00D7624B"/>
    <w:rsid w:val="00D76871"/>
    <w:rsid w:val="00D772D9"/>
    <w:rsid w:val="00D803B5"/>
    <w:rsid w:val="00D80B24"/>
    <w:rsid w:val="00D81B63"/>
    <w:rsid w:val="00D81F38"/>
    <w:rsid w:val="00D87143"/>
    <w:rsid w:val="00D9162B"/>
    <w:rsid w:val="00D96572"/>
    <w:rsid w:val="00DA15F5"/>
    <w:rsid w:val="00DB1DC2"/>
    <w:rsid w:val="00DB343A"/>
    <w:rsid w:val="00DB4542"/>
    <w:rsid w:val="00DB55C4"/>
    <w:rsid w:val="00DB767E"/>
    <w:rsid w:val="00DC3464"/>
    <w:rsid w:val="00DC34FA"/>
    <w:rsid w:val="00DC35E2"/>
    <w:rsid w:val="00DD5B88"/>
    <w:rsid w:val="00DD5D4B"/>
    <w:rsid w:val="00DE007E"/>
    <w:rsid w:val="00DE1E05"/>
    <w:rsid w:val="00DE4556"/>
    <w:rsid w:val="00DE4E64"/>
    <w:rsid w:val="00DF0223"/>
    <w:rsid w:val="00E03516"/>
    <w:rsid w:val="00E1443E"/>
    <w:rsid w:val="00E20E5B"/>
    <w:rsid w:val="00E22B79"/>
    <w:rsid w:val="00E27305"/>
    <w:rsid w:val="00E32E6B"/>
    <w:rsid w:val="00E33B94"/>
    <w:rsid w:val="00E52247"/>
    <w:rsid w:val="00E53F00"/>
    <w:rsid w:val="00E54288"/>
    <w:rsid w:val="00E54AC2"/>
    <w:rsid w:val="00E55D0A"/>
    <w:rsid w:val="00E57EA6"/>
    <w:rsid w:val="00E6489C"/>
    <w:rsid w:val="00E65821"/>
    <w:rsid w:val="00E67529"/>
    <w:rsid w:val="00E702BE"/>
    <w:rsid w:val="00E75137"/>
    <w:rsid w:val="00E752E5"/>
    <w:rsid w:val="00E773B0"/>
    <w:rsid w:val="00E778CF"/>
    <w:rsid w:val="00E84EC9"/>
    <w:rsid w:val="00E868AA"/>
    <w:rsid w:val="00E86A29"/>
    <w:rsid w:val="00E90209"/>
    <w:rsid w:val="00E97058"/>
    <w:rsid w:val="00EA251C"/>
    <w:rsid w:val="00EA33F4"/>
    <w:rsid w:val="00EA357E"/>
    <w:rsid w:val="00EA45BE"/>
    <w:rsid w:val="00EA4647"/>
    <w:rsid w:val="00EA6AB3"/>
    <w:rsid w:val="00EB03BD"/>
    <w:rsid w:val="00EB40D9"/>
    <w:rsid w:val="00EB4346"/>
    <w:rsid w:val="00EB47A2"/>
    <w:rsid w:val="00EB630F"/>
    <w:rsid w:val="00EB6651"/>
    <w:rsid w:val="00EB6812"/>
    <w:rsid w:val="00EB77BB"/>
    <w:rsid w:val="00EB7CAA"/>
    <w:rsid w:val="00EC0C49"/>
    <w:rsid w:val="00ED1F54"/>
    <w:rsid w:val="00ED5E9A"/>
    <w:rsid w:val="00EE020E"/>
    <w:rsid w:val="00EE3C34"/>
    <w:rsid w:val="00EF1AA3"/>
    <w:rsid w:val="00F02AC6"/>
    <w:rsid w:val="00F036C1"/>
    <w:rsid w:val="00F07999"/>
    <w:rsid w:val="00F11B79"/>
    <w:rsid w:val="00F15BFC"/>
    <w:rsid w:val="00F17741"/>
    <w:rsid w:val="00F202D3"/>
    <w:rsid w:val="00F21105"/>
    <w:rsid w:val="00F22E91"/>
    <w:rsid w:val="00F23966"/>
    <w:rsid w:val="00F23B0E"/>
    <w:rsid w:val="00F24946"/>
    <w:rsid w:val="00F310B2"/>
    <w:rsid w:val="00F341F7"/>
    <w:rsid w:val="00F37030"/>
    <w:rsid w:val="00F37B27"/>
    <w:rsid w:val="00F41A70"/>
    <w:rsid w:val="00F46EEB"/>
    <w:rsid w:val="00F50368"/>
    <w:rsid w:val="00F523A3"/>
    <w:rsid w:val="00F55DFC"/>
    <w:rsid w:val="00F5615D"/>
    <w:rsid w:val="00F57773"/>
    <w:rsid w:val="00F636BC"/>
    <w:rsid w:val="00F640B2"/>
    <w:rsid w:val="00F64109"/>
    <w:rsid w:val="00F727BF"/>
    <w:rsid w:val="00F749EC"/>
    <w:rsid w:val="00F827E2"/>
    <w:rsid w:val="00F83991"/>
    <w:rsid w:val="00F868F1"/>
    <w:rsid w:val="00F93D16"/>
    <w:rsid w:val="00F95BB5"/>
    <w:rsid w:val="00FA0725"/>
    <w:rsid w:val="00FA192D"/>
    <w:rsid w:val="00FA2170"/>
    <w:rsid w:val="00FB0893"/>
    <w:rsid w:val="00FB1273"/>
    <w:rsid w:val="00FB2551"/>
    <w:rsid w:val="00FB3AA2"/>
    <w:rsid w:val="00FB64BA"/>
    <w:rsid w:val="00FC0AF7"/>
    <w:rsid w:val="00FC5494"/>
    <w:rsid w:val="00FC78E6"/>
    <w:rsid w:val="00FD088C"/>
    <w:rsid w:val="00FF1D0C"/>
    <w:rsid w:val="00FF6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6812"/>
    <w:rPr>
      <w:color w:val="0000FF"/>
      <w:u w:val="single"/>
    </w:rPr>
  </w:style>
  <w:style w:type="paragraph" w:styleId="FootnoteText">
    <w:name w:val="footnote text"/>
    <w:basedOn w:val="Normal"/>
    <w:semiHidden/>
    <w:rsid w:val="00AF5B39"/>
    <w:rPr>
      <w:sz w:val="20"/>
      <w:szCs w:val="20"/>
    </w:rPr>
  </w:style>
  <w:style w:type="character" w:styleId="FootnoteReference">
    <w:name w:val="footnote reference"/>
    <w:basedOn w:val="DefaultParagraphFont"/>
    <w:semiHidden/>
    <w:rsid w:val="00AF5B39"/>
    <w:rPr>
      <w:vertAlign w:val="superscript"/>
    </w:rPr>
  </w:style>
  <w:style w:type="table" w:styleId="TableGrid">
    <w:name w:val="Table Grid"/>
    <w:basedOn w:val="TableNormal"/>
    <w:rsid w:val="003F5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309B1"/>
    <w:pPr>
      <w:tabs>
        <w:tab w:val="center" w:pos="4153"/>
        <w:tab w:val="right" w:pos="8306"/>
      </w:tabs>
    </w:pPr>
  </w:style>
  <w:style w:type="character" w:styleId="PageNumber">
    <w:name w:val="page number"/>
    <w:basedOn w:val="DefaultParagraphFont"/>
    <w:rsid w:val="00A309B1"/>
  </w:style>
  <w:style w:type="paragraph" w:styleId="BalloonText">
    <w:name w:val="Balloon Text"/>
    <w:basedOn w:val="Normal"/>
    <w:link w:val="BalloonTextChar"/>
    <w:uiPriority w:val="99"/>
    <w:semiHidden/>
    <w:unhideWhenUsed/>
    <w:rsid w:val="00FF1D0C"/>
    <w:rPr>
      <w:rFonts w:ascii="Tahoma" w:hAnsi="Tahoma" w:cs="Tahoma"/>
      <w:sz w:val="16"/>
      <w:szCs w:val="16"/>
    </w:rPr>
  </w:style>
  <w:style w:type="character" w:customStyle="1" w:styleId="BalloonTextChar">
    <w:name w:val="Balloon Text Char"/>
    <w:basedOn w:val="DefaultParagraphFont"/>
    <w:link w:val="BalloonText"/>
    <w:uiPriority w:val="99"/>
    <w:semiHidden/>
    <w:rsid w:val="00FF1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esds.ac.uk/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Determinants of Economic Growth in Pakistan</vt:lpstr>
    </vt:vector>
  </TitlesOfParts>
  <Company/>
  <LinksUpToDate>false</LinksUpToDate>
  <CharactersWithSpaces>22493</CharactersWithSpaces>
  <SharedDoc>false</SharedDoc>
  <HLinks>
    <vt:vector size="6" baseType="variant">
      <vt:variant>
        <vt:i4>2228349</vt:i4>
      </vt:variant>
      <vt:variant>
        <vt:i4>0</vt:i4>
      </vt:variant>
      <vt:variant>
        <vt:i4>0</vt:i4>
      </vt:variant>
      <vt:variant>
        <vt:i4>5</vt:i4>
      </vt:variant>
      <vt:variant>
        <vt:lpwstr>http://www.esds.ac.uk/international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Economic Growth in Pakistan</dc:title>
  <dc:creator>Administrator</dc:creator>
  <cp:lastModifiedBy>ab</cp:lastModifiedBy>
  <cp:revision>6</cp:revision>
  <dcterms:created xsi:type="dcterms:W3CDTF">2011-01-26T14:59:00Z</dcterms:created>
  <dcterms:modified xsi:type="dcterms:W3CDTF">2011-07-03T15:56:00Z</dcterms:modified>
</cp:coreProperties>
</file>